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C72E5" w14:textId="107BF4A5" w:rsidR="00EF493F" w:rsidRPr="00B266B0" w:rsidRDefault="00EF493F" w:rsidP="00EF493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623F1" w:rsidRPr="00F623F1">
        <w:rPr>
          <w:bCs/>
          <w:noProof w:val="0"/>
          <w:sz w:val="24"/>
          <w:szCs w:val="24"/>
        </w:rPr>
        <w:t>2101204</w:t>
      </w:r>
    </w:p>
    <w:p w14:paraId="1CA0B6AD" w14:textId="40A1E5A2" w:rsidR="00EF493F" w:rsidRPr="00465587" w:rsidRDefault="00EF493F" w:rsidP="00EF493F">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FE106D">
        <w:rPr>
          <w:rFonts w:eastAsia="SimSun"/>
          <w:bCs/>
          <w:sz w:val="24"/>
          <w:szCs w:val="24"/>
          <w:lang w:eastAsia="zh-CN"/>
        </w:rPr>
        <w:t>25 January – 05 February 2021</w:t>
      </w:r>
      <w:r>
        <w:rPr>
          <w:rFonts w:eastAsia="SimSun"/>
          <w:noProof w:val="0"/>
          <w:sz w:val="24"/>
          <w:szCs w:val="24"/>
          <w:lang w:eastAsia="zh-CN"/>
        </w:rPr>
        <w:tab/>
      </w:r>
      <w:r w:rsidR="00F623F1" w:rsidRPr="00F623F1">
        <w:rPr>
          <w:rFonts w:eastAsia="SimSun"/>
          <w:i/>
          <w:iCs/>
          <w:noProof w:val="0"/>
          <w:sz w:val="24"/>
          <w:szCs w:val="24"/>
          <w:lang w:eastAsia="zh-CN"/>
        </w:rPr>
        <w:t>Revision of</w:t>
      </w:r>
      <w:r w:rsidR="00F623F1">
        <w:rPr>
          <w:rFonts w:eastAsia="SimSun"/>
          <w:noProof w:val="0"/>
          <w:sz w:val="24"/>
          <w:szCs w:val="24"/>
          <w:lang w:eastAsia="zh-CN"/>
        </w:rPr>
        <w:t xml:space="preserve"> </w:t>
      </w:r>
      <w:r w:rsidRPr="00C4106D">
        <w:rPr>
          <w:rFonts w:eastAsia="SimSun"/>
          <w:bCs/>
          <w:i/>
          <w:noProof w:val="0"/>
          <w:sz w:val="24"/>
          <w:szCs w:val="24"/>
          <w:lang w:eastAsia="zh-CN"/>
        </w:rPr>
        <w:t>R2-2009799</w:t>
      </w:r>
    </w:p>
    <w:p w14:paraId="5C8CCB82" w14:textId="77777777" w:rsidR="00EF493F" w:rsidRPr="00B266B0" w:rsidRDefault="00EF493F" w:rsidP="00EF493F">
      <w:pPr>
        <w:pStyle w:val="Header"/>
        <w:rPr>
          <w:bCs/>
          <w:noProof w:val="0"/>
          <w:sz w:val="24"/>
        </w:rPr>
      </w:pPr>
    </w:p>
    <w:p w14:paraId="403CB9C0" w14:textId="7F15314C" w:rsidR="00A209D6" w:rsidRPr="00B266B0" w:rsidRDefault="00A209D6" w:rsidP="00A209D6">
      <w:pPr>
        <w:pStyle w:val="Header"/>
        <w:rPr>
          <w:bCs/>
          <w:noProof w:val="0"/>
          <w:sz w:val="24"/>
        </w:rPr>
      </w:pPr>
    </w:p>
    <w:p w14:paraId="74AEDB1B" w14:textId="5673583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3486F" w:rsidRPr="00F623F1">
        <w:rPr>
          <w:rFonts w:cs="Arial"/>
          <w:b/>
          <w:bCs/>
          <w:sz w:val="24"/>
          <w:lang w:eastAsia="ja-JP"/>
        </w:rPr>
        <w:t>8.6.4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FCA27C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3486F">
        <w:rPr>
          <w:rFonts w:ascii="Arial" w:hAnsi="Arial" w:cs="Arial"/>
          <w:b/>
          <w:bCs/>
          <w:sz w:val="24"/>
        </w:rPr>
        <w:t>Details on RACH specific schemes</w:t>
      </w:r>
    </w:p>
    <w:p w14:paraId="1F147C23" w14:textId="12BA8AA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3486F" w:rsidRPr="00C3486F">
        <w:rPr>
          <w:rFonts w:ascii="Arial" w:hAnsi="Arial" w:cs="Arial"/>
          <w:b/>
          <w:bCs/>
          <w:sz w:val="24"/>
        </w:rPr>
        <w:t xml:space="preserve">NR_SmallData_INACTIVE </w:t>
      </w:r>
      <w:r>
        <w:rPr>
          <w:rFonts w:ascii="Arial" w:hAnsi="Arial" w:cs="Arial"/>
          <w:b/>
          <w:bCs/>
          <w:sz w:val="24"/>
        </w:rPr>
        <w:t xml:space="preserve">- Release </w:t>
      </w:r>
      <w:r w:rsidR="00C3486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D6E9978" w:rsidR="007F2E08" w:rsidRDefault="00D3758D" w:rsidP="00A209D6">
      <w:r>
        <w:t xml:space="preserve">In the previous </w:t>
      </w:r>
      <w:r w:rsidR="00C4106D">
        <w:t xml:space="preserve">RAN2 </w:t>
      </w:r>
      <w:r>
        <w:t>meeting</w:t>
      </w:r>
      <w:r w:rsidR="00C4106D">
        <w:t>s</w:t>
      </w:r>
      <w:r>
        <w:t>, the following agreements were reached:</w:t>
      </w:r>
    </w:p>
    <w:p w14:paraId="372F8ED3" w14:textId="1A432668"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b/>
          <w:bCs/>
          <w:i/>
          <w:iCs/>
        </w:rPr>
      </w:pPr>
      <w:r w:rsidRPr="00D3758D">
        <w:rPr>
          <w:b/>
          <w:bCs/>
          <w:i/>
          <w:iCs/>
        </w:rPr>
        <w:t xml:space="preserve">Agreements </w:t>
      </w:r>
      <w:r w:rsidR="00EF493F">
        <w:rPr>
          <w:b/>
          <w:bCs/>
          <w:i/>
          <w:iCs/>
        </w:rPr>
        <w:t>(RAN2#111-e):</w:t>
      </w:r>
    </w:p>
    <w:p w14:paraId="36870D25"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 xml:space="preserve">1 </w:t>
      </w:r>
      <w:r w:rsidRPr="00D3758D">
        <w:rPr>
          <w:i/>
          <w:iCs/>
        </w:rPr>
        <w:tab/>
        <w:t xml:space="preserve">Small data transmission with RRC message is supported as baseline for RA-based and CG based schemes  </w:t>
      </w:r>
    </w:p>
    <w:p w14:paraId="76100BC5"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lang w:val="en-US"/>
        </w:rPr>
      </w:pPr>
      <w:r w:rsidRPr="00D3758D">
        <w:rPr>
          <w:i/>
          <w:iCs/>
          <w:lang w:val="en-US"/>
        </w:rPr>
        <w:t>2</w:t>
      </w:r>
      <w:r w:rsidRPr="00D3758D">
        <w:rPr>
          <w:i/>
          <w:iCs/>
          <w:lang w:val="en-US"/>
        </w:rPr>
        <w:tab/>
        <w:t>RRC-less can be studied for limited use cases (e.g. same serving cell and/or for CG) with lower priority</w:t>
      </w:r>
    </w:p>
    <w:p w14:paraId="60A081C5"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lang w:val="en-US"/>
        </w:rPr>
      </w:pPr>
      <w:r w:rsidRPr="00D3758D">
        <w:rPr>
          <w:i/>
          <w:iCs/>
          <w:lang w:val="en-US"/>
        </w:rPr>
        <w:t>3</w:t>
      </w:r>
      <w:r w:rsidRPr="00D3758D">
        <w:rPr>
          <w:i/>
          <w:iCs/>
          <w:lang w:val="en-US"/>
        </w:rPr>
        <w:tab/>
        <w:t xml:space="preserve">Context fetch and data forwarding with anchor re-location and without anchor re-location will be considered.   FFS if there are problems with the scenario “without anchor relocation”. </w:t>
      </w:r>
    </w:p>
    <w:p w14:paraId="089F507D"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4</w:t>
      </w:r>
      <w:r w:rsidRPr="00D3758D">
        <w:rPr>
          <w:i/>
          <w:iCs/>
        </w:rPr>
        <w:tab/>
        <w:t>From RAN2 perspective, stored “configuration” in the UE Context is used for the RLC bearer configuration for any SDT mechanism (RACH and CG).</w:t>
      </w:r>
    </w:p>
    <w:p w14:paraId="62DF90CB"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5</w:t>
      </w:r>
      <w:r w:rsidRPr="00D3758D">
        <w:rPr>
          <w:i/>
          <w:iCs/>
        </w:rPr>
        <w:tab/>
        <w:t>The 2-step RACH or 4-step RACH should be applied to RACH based uplink small data transmission in RRC_INACTIVE</w:t>
      </w:r>
    </w:p>
    <w:p w14:paraId="35C29D3B"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6</w:t>
      </w:r>
      <w:r w:rsidRPr="00D3758D">
        <w:rPr>
          <w:i/>
          <w:iCs/>
        </w:rPr>
        <w:tab/>
        <w:t>The uplink small data can be sent in MSGA of 2-step RACH or msg3 of 4-step RACH.</w:t>
      </w:r>
    </w:p>
    <w:p w14:paraId="06169FFA"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7</w:t>
      </w:r>
      <w:r w:rsidRPr="00D3758D">
        <w:rPr>
          <w:i/>
          <w:iCs/>
        </w:rPr>
        <w:tab/>
        <w:t>Small data transmission is configured by the network on a per DRB basis</w:t>
      </w:r>
    </w:p>
    <w:p w14:paraId="2D03EE7F"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8</w:t>
      </w:r>
      <w:r w:rsidRPr="00D3758D">
        <w:rPr>
          <w:i/>
          <w:iCs/>
        </w:rPr>
        <w:tab/>
        <w:t xml:space="preserve">Data volume threshold is used for the UE to decide whether to do SDT or not.   FFS how we calculate data volume.  </w:t>
      </w:r>
    </w:p>
    <w:p w14:paraId="0AE14C37"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ab/>
        <w:t>FFS if an “additional SDT specific” RSRP threshold is further used to determine whether the UE should do SDT</w:t>
      </w:r>
    </w:p>
    <w:p w14:paraId="003597CD"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9</w:t>
      </w:r>
      <w:r w:rsidRPr="00D3758D">
        <w:rPr>
          <w:i/>
          <w:iCs/>
        </w:rPr>
        <w:tab/>
        <w:t xml:space="preserve">UL/DL transmission following UL SDT without transitioning to RRC_CONNECTED is supported </w:t>
      </w:r>
    </w:p>
    <w:p w14:paraId="230D4155"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10</w:t>
      </w:r>
      <w:r w:rsidRPr="00D3758D">
        <w:rPr>
          <w:i/>
          <w:iCs/>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75660FB8" w14:textId="68BFA82A" w:rsidR="00D3758D" w:rsidRDefault="00D3758D" w:rsidP="00A209D6"/>
    <w:tbl>
      <w:tblPr>
        <w:tblStyle w:val="TableGrid"/>
        <w:tblW w:w="9321" w:type="dxa"/>
        <w:tblInd w:w="455" w:type="dxa"/>
        <w:tblLook w:val="04A0" w:firstRow="1" w:lastRow="0" w:firstColumn="1" w:lastColumn="0" w:noHBand="0" w:noVBand="1"/>
      </w:tblPr>
      <w:tblGrid>
        <w:gridCol w:w="9321"/>
      </w:tblGrid>
      <w:tr w:rsidR="00EF493F" w14:paraId="539A381A" w14:textId="77777777" w:rsidTr="00EF493F">
        <w:tc>
          <w:tcPr>
            <w:tcW w:w="9321" w:type="dxa"/>
          </w:tcPr>
          <w:p w14:paraId="5E6722F9" w14:textId="77777777" w:rsidR="00EF493F" w:rsidRPr="00C4106D" w:rsidRDefault="00EF493F" w:rsidP="00EF493F">
            <w:pPr>
              <w:pStyle w:val="Doc-text2"/>
              <w:ind w:left="363"/>
              <w:rPr>
                <w:b/>
                <w:bCs/>
                <w:i/>
                <w:iCs/>
              </w:rPr>
            </w:pPr>
            <w:r w:rsidRPr="00C4106D">
              <w:rPr>
                <w:b/>
                <w:bCs/>
                <w:i/>
                <w:iCs/>
              </w:rPr>
              <w:t>Agreements</w:t>
            </w:r>
            <w:r>
              <w:rPr>
                <w:b/>
                <w:bCs/>
                <w:i/>
                <w:iCs/>
              </w:rPr>
              <w:t xml:space="preserve"> (RAN2#112-e)</w:t>
            </w:r>
            <w:r w:rsidRPr="00C4106D">
              <w:rPr>
                <w:b/>
                <w:bCs/>
                <w:i/>
                <w:iCs/>
              </w:rPr>
              <w:t>:</w:t>
            </w:r>
          </w:p>
          <w:p w14:paraId="35B58904" w14:textId="77777777" w:rsidR="00EF493F" w:rsidRPr="00C4106D" w:rsidRDefault="00EF493F" w:rsidP="00EF493F">
            <w:pPr>
              <w:pStyle w:val="Doc-text2"/>
              <w:ind w:left="363"/>
              <w:rPr>
                <w:i/>
                <w:iCs/>
              </w:rPr>
            </w:pPr>
            <w:r w:rsidRPr="00C4106D">
              <w:rPr>
                <w:i/>
                <w:iCs/>
              </w:rPr>
              <w:t xml:space="preserve">10:  As a baseline, the RACH resource i.e. (RO+preamble combination) is different between SDT and non-SDT </w:t>
            </w:r>
          </w:p>
          <w:p w14:paraId="10564123" w14:textId="77777777" w:rsidR="00EF493F" w:rsidRPr="00C4106D" w:rsidRDefault="00EF493F" w:rsidP="00EF493F">
            <w:pPr>
              <w:pStyle w:val="Doc-text2"/>
              <w:ind w:left="363"/>
              <w:rPr>
                <w:i/>
                <w:iCs/>
              </w:rPr>
            </w:pPr>
            <w:r w:rsidRPr="00C4106D">
              <w:rPr>
                <w:i/>
                <w:iCs/>
              </w:rPr>
              <w:t>-</w:t>
            </w:r>
            <w:r w:rsidRPr="00C4106D">
              <w:rPr>
                <w:i/>
                <w:iCs/>
              </w:rPr>
              <w:tab/>
              <w:t>If ROs for SDT and non SDT are different, preamble partitioning between SDT and non SDT is not needed.</w:t>
            </w:r>
          </w:p>
          <w:p w14:paraId="580D97A8" w14:textId="77777777" w:rsidR="00EF493F" w:rsidRPr="00C4106D" w:rsidRDefault="00EF493F" w:rsidP="00EF493F">
            <w:pPr>
              <w:pStyle w:val="Doc-text2"/>
              <w:ind w:left="363"/>
              <w:rPr>
                <w:i/>
                <w:iCs/>
              </w:rPr>
            </w:pPr>
            <w:r w:rsidRPr="00C4106D">
              <w:rPr>
                <w:i/>
                <w:iCs/>
              </w:rPr>
              <w:t>-</w:t>
            </w:r>
            <w:r w:rsidRPr="00C4106D">
              <w:rPr>
                <w:i/>
                <w:iCs/>
              </w:rPr>
              <w:tab/>
              <w:t>If ROs for SDT and non SDT are same, preamble partitioning is needed</w:t>
            </w:r>
          </w:p>
          <w:p w14:paraId="1C7FEDDC" w14:textId="77777777" w:rsidR="00EF493F" w:rsidRPr="00C4106D" w:rsidRDefault="00EF493F" w:rsidP="00EF493F">
            <w:pPr>
              <w:pStyle w:val="Doc-text2"/>
              <w:ind w:left="363"/>
              <w:rPr>
                <w:i/>
                <w:iCs/>
              </w:rPr>
            </w:pPr>
            <w:r w:rsidRPr="00C4106D">
              <w:rPr>
                <w:i/>
                <w:iCs/>
              </w:rPr>
              <w:t>FFS if common configuration should be allowed</w:t>
            </w:r>
          </w:p>
          <w:p w14:paraId="7ECE8390" w14:textId="1085E9BF" w:rsidR="00EF493F" w:rsidRDefault="00EF493F" w:rsidP="00EF493F">
            <w:r w:rsidRPr="00C4106D">
              <w:rPr>
                <w:i/>
                <w:iCs/>
              </w:rPr>
              <w:t>11:</w:t>
            </w:r>
            <w:r w:rsidRPr="00C4106D">
              <w:rPr>
                <w:i/>
                <w:iCs/>
              </w:rPr>
              <w:tab/>
              <w:t>If the RACH resource i.e. (RO+preamble combination) is different between SDT and non-SDT then there is no further need for any differentiation between MSG2/MSGB for SDT vs non-SDT</w:t>
            </w:r>
          </w:p>
        </w:tc>
      </w:tr>
    </w:tbl>
    <w:p w14:paraId="342F1EFD" w14:textId="6DA63B38" w:rsidR="00D3758D" w:rsidRPr="006E13D1" w:rsidRDefault="00D3758D" w:rsidP="00A209D6">
      <w:r>
        <w:t xml:space="preserve">In this </w:t>
      </w:r>
      <w:r w:rsidR="0018267B">
        <w:t xml:space="preserve">contribution, we discuss the </w:t>
      </w:r>
      <w:r w:rsidR="00EF493F">
        <w:t xml:space="preserve">further </w:t>
      </w:r>
      <w:r w:rsidR="0018267B">
        <w:t>RACH details for SDT as well as the SDT data forwarding between anchor and target gNBs.</w:t>
      </w:r>
    </w:p>
    <w:p w14:paraId="2BBFF540" w14:textId="51B0ABE6" w:rsidR="00A209D6" w:rsidRDefault="00A209D6" w:rsidP="00A209D6">
      <w:pPr>
        <w:pStyle w:val="Heading1"/>
      </w:pPr>
      <w:r w:rsidRPr="006E13D1">
        <w:t>2</w:t>
      </w:r>
      <w:r w:rsidRPr="006E13D1">
        <w:tab/>
      </w:r>
      <w:r w:rsidR="00D3758D">
        <w:t>SDT RACH</w:t>
      </w:r>
    </w:p>
    <w:p w14:paraId="01BF7678" w14:textId="1748AEBD" w:rsidR="00D3758D" w:rsidRDefault="00D3758D" w:rsidP="00D3758D">
      <w:pPr>
        <w:pStyle w:val="Heading2"/>
      </w:pPr>
      <w:r>
        <w:t>2.1</w:t>
      </w:r>
      <w:r>
        <w:tab/>
        <w:t>RA type selection for SDT</w:t>
      </w:r>
    </w:p>
    <w:p w14:paraId="5A644C9E" w14:textId="70902425" w:rsidR="00D3758D" w:rsidRDefault="00D3758D" w:rsidP="00D3758D">
      <w:r>
        <w:t>The following was agreed in the previous RAN2</w:t>
      </w:r>
      <w:r w:rsidR="00EF493F">
        <w:t>#111-e</w:t>
      </w:r>
      <w:r>
        <w:t xml:space="preserve"> meeting:</w:t>
      </w:r>
    </w:p>
    <w:p w14:paraId="36A99ED7" w14:textId="009C461F" w:rsid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lastRenderedPageBreak/>
        <w:t>5</w:t>
      </w:r>
      <w:r w:rsidRPr="00D3758D">
        <w:rPr>
          <w:i/>
          <w:iCs/>
        </w:rPr>
        <w:tab/>
        <w:t>The 2-step RACH or 4-step RACH should be applied to RACH based uplink small data transmission in RRC_INACTIVE</w:t>
      </w:r>
    </w:p>
    <w:p w14:paraId="14EA74BD" w14:textId="77777777" w:rsidR="00A63BED" w:rsidRPr="00D3758D" w:rsidRDefault="00A63BED" w:rsidP="00A63BE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8</w:t>
      </w:r>
      <w:r w:rsidRPr="00D3758D">
        <w:rPr>
          <w:i/>
          <w:iCs/>
        </w:rPr>
        <w:tab/>
        <w:t xml:space="preserve">Data volume threshold is used for the UE to decide whether to do SDT or not.   FFS how we calculate data volume.  </w:t>
      </w:r>
    </w:p>
    <w:p w14:paraId="063AB2CF" w14:textId="1ECB7D85" w:rsidR="00A63BED" w:rsidRPr="00D3758D" w:rsidRDefault="00A63BE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ab/>
        <w:t>FFS if an “additional SDT specific” RSRP threshold is further used to determine whether the UE should do SDT</w:t>
      </w:r>
    </w:p>
    <w:p w14:paraId="7A5C0145" w14:textId="7F9B176F" w:rsidR="00D3758D" w:rsidRDefault="00D3758D" w:rsidP="00D3758D"/>
    <w:p w14:paraId="7BDEFD13" w14:textId="413E335D" w:rsidR="00A63BED" w:rsidRDefault="00EF493F" w:rsidP="00D3758D">
      <w:r>
        <w:t>T</w:t>
      </w:r>
      <w:r w:rsidR="00A63BED">
        <w:t>he RSRP threshold was left FFS</w:t>
      </w:r>
      <w:r>
        <w:t xml:space="preserve"> in the RAN2#111-e meeting</w:t>
      </w:r>
      <w:r w:rsidR="00A63BED">
        <w:t xml:space="preserve"> as there was somewhat confusing discussions that we already apply RSRP threshold when we select between 2-step and 4-step RA type. However, any additional RSRP threshold should be applied before the SDT procedure is even initiated, i</w:t>
      </w:r>
      <w:r w:rsidR="00872D63">
        <w:t>.</w:t>
      </w:r>
      <w:r w:rsidR="00A63BED">
        <w:t xml:space="preserve">e., similarly to the data volume threshold, the UE will check based on the RSRP whether it can initiate SDT procedure or whether it should do a regular resume </w:t>
      </w:r>
      <w:r w:rsidR="00A63BED" w:rsidRPr="00F623F1">
        <w:t xml:space="preserve">procedure. </w:t>
      </w:r>
      <w:r w:rsidR="00706CAB" w:rsidRPr="00F623F1">
        <w:t>As indicated in</w:t>
      </w:r>
      <w:r w:rsidR="00A63BED" w:rsidRPr="00F623F1">
        <w:t xml:space="preserve"> our companion contribution R2-</w:t>
      </w:r>
      <w:r w:rsidR="0018267B" w:rsidRPr="00F623F1">
        <w:t>2009919</w:t>
      </w:r>
      <w:r w:rsidR="00A63BED" w:rsidRPr="00F623F1">
        <w:t xml:space="preserve">, </w:t>
      </w:r>
      <w:r w:rsidR="00706CAB" w:rsidRPr="00F623F1">
        <w:t>we think the “Not at cell edge” threshold specified for Rel-16 UE power saving can be applied for this purpose.</w:t>
      </w:r>
    </w:p>
    <w:p w14:paraId="177D878E" w14:textId="6773E836" w:rsidR="00706CAB" w:rsidRPr="00706CAB" w:rsidRDefault="00706CAB" w:rsidP="00D3758D">
      <w:pPr>
        <w:rPr>
          <w:b/>
          <w:bCs/>
        </w:rPr>
      </w:pPr>
      <w:r w:rsidRPr="00706CAB">
        <w:rPr>
          <w:b/>
          <w:bCs/>
        </w:rPr>
        <w:t>Proposal 1: “Not at cell edge” threshold specified for R</w:t>
      </w:r>
      <w:r>
        <w:rPr>
          <w:b/>
          <w:bCs/>
        </w:rPr>
        <w:t>el-</w:t>
      </w:r>
      <w:r w:rsidRPr="00706CAB">
        <w:rPr>
          <w:b/>
          <w:bCs/>
        </w:rPr>
        <w:t>16 UE power saving is re-used for SDT purpose i.e. the UE is not allowed to use SDT at cell edge</w:t>
      </w:r>
      <w:r>
        <w:rPr>
          <w:b/>
          <w:bCs/>
        </w:rPr>
        <w:t>.</w:t>
      </w:r>
    </w:p>
    <w:p w14:paraId="6500688F" w14:textId="13CA82CE" w:rsidR="00706CAB" w:rsidRDefault="004D3B1C" w:rsidP="004D3B1C">
      <w:pPr>
        <w:pStyle w:val="Heading2"/>
      </w:pPr>
      <w:r>
        <w:t>2.2</w:t>
      </w:r>
      <w:r>
        <w:tab/>
        <w:t>RA resources for SDT</w:t>
      </w:r>
    </w:p>
    <w:p w14:paraId="3563B554" w14:textId="77777777" w:rsidR="00EF493F" w:rsidRDefault="004D3B1C" w:rsidP="00D3758D">
      <w:r>
        <w:t>In the</w:t>
      </w:r>
      <w:r w:rsidR="00EF493F">
        <w:t xml:space="preserve"> previous RAN2#112-e meeting, the following options were agreed:</w:t>
      </w:r>
    </w:p>
    <w:tbl>
      <w:tblPr>
        <w:tblStyle w:val="TableGrid"/>
        <w:tblW w:w="9321" w:type="dxa"/>
        <w:tblInd w:w="455" w:type="dxa"/>
        <w:tblLook w:val="04A0" w:firstRow="1" w:lastRow="0" w:firstColumn="1" w:lastColumn="0" w:noHBand="0" w:noVBand="1"/>
      </w:tblPr>
      <w:tblGrid>
        <w:gridCol w:w="9321"/>
      </w:tblGrid>
      <w:tr w:rsidR="00EF493F" w14:paraId="3DADDF45" w14:textId="77777777" w:rsidTr="00F13945">
        <w:tc>
          <w:tcPr>
            <w:tcW w:w="9321" w:type="dxa"/>
          </w:tcPr>
          <w:p w14:paraId="6D1673A9" w14:textId="77777777" w:rsidR="00EF493F" w:rsidRPr="00C4106D" w:rsidRDefault="00EF493F" w:rsidP="00F13945">
            <w:pPr>
              <w:pStyle w:val="Doc-text2"/>
              <w:ind w:left="363"/>
              <w:rPr>
                <w:b/>
                <w:bCs/>
                <w:i/>
                <w:iCs/>
              </w:rPr>
            </w:pPr>
            <w:r w:rsidRPr="00C4106D">
              <w:rPr>
                <w:b/>
                <w:bCs/>
                <w:i/>
                <w:iCs/>
              </w:rPr>
              <w:t>Agreements</w:t>
            </w:r>
            <w:r>
              <w:rPr>
                <w:b/>
                <w:bCs/>
                <w:i/>
                <w:iCs/>
              </w:rPr>
              <w:t xml:space="preserve"> (RAN2#112-e)</w:t>
            </w:r>
            <w:r w:rsidRPr="00C4106D">
              <w:rPr>
                <w:b/>
                <w:bCs/>
                <w:i/>
                <w:iCs/>
              </w:rPr>
              <w:t>:</w:t>
            </w:r>
          </w:p>
          <w:p w14:paraId="11601B33" w14:textId="77777777" w:rsidR="00EF493F" w:rsidRPr="00C4106D" w:rsidRDefault="00EF493F" w:rsidP="00F13945">
            <w:pPr>
              <w:pStyle w:val="Doc-text2"/>
              <w:ind w:left="363"/>
              <w:rPr>
                <w:i/>
                <w:iCs/>
              </w:rPr>
            </w:pPr>
            <w:r w:rsidRPr="00C4106D">
              <w:rPr>
                <w:i/>
                <w:iCs/>
              </w:rPr>
              <w:t xml:space="preserve">10:  As a baseline, the RACH resource i.e. (RO+preamble combination) is different between SDT and non-SDT </w:t>
            </w:r>
          </w:p>
          <w:p w14:paraId="2F00304C" w14:textId="77777777" w:rsidR="00EF493F" w:rsidRPr="00C4106D" w:rsidRDefault="00EF493F" w:rsidP="00F13945">
            <w:pPr>
              <w:pStyle w:val="Doc-text2"/>
              <w:ind w:left="363"/>
              <w:rPr>
                <w:i/>
                <w:iCs/>
              </w:rPr>
            </w:pPr>
            <w:r w:rsidRPr="00C4106D">
              <w:rPr>
                <w:i/>
                <w:iCs/>
              </w:rPr>
              <w:t>-</w:t>
            </w:r>
            <w:r w:rsidRPr="00C4106D">
              <w:rPr>
                <w:i/>
                <w:iCs/>
              </w:rPr>
              <w:tab/>
              <w:t>If ROs for SDT and non SDT are different, preamble partitioning between SDT and non SDT is not needed.</w:t>
            </w:r>
          </w:p>
          <w:p w14:paraId="35499300" w14:textId="77777777" w:rsidR="00EF493F" w:rsidRPr="00C4106D" w:rsidRDefault="00EF493F" w:rsidP="00F13945">
            <w:pPr>
              <w:pStyle w:val="Doc-text2"/>
              <w:ind w:left="363"/>
              <w:rPr>
                <w:i/>
                <w:iCs/>
              </w:rPr>
            </w:pPr>
            <w:r w:rsidRPr="00C4106D">
              <w:rPr>
                <w:i/>
                <w:iCs/>
              </w:rPr>
              <w:t>-</w:t>
            </w:r>
            <w:r w:rsidRPr="00C4106D">
              <w:rPr>
                <w:i/>
                <w:iCs/>
              </w:rPr>
              <w:tab/>
              <w:t>If ROs for SDT and non SDT are same, preamble partitioning is needed</w:t>
            </w:r>
          </w:p>
          <w:p w14:paraId="2A709FC4" w14:textId="20A70BAA" w:rsidR="00EF493F" w:rsidRDefault="00EF493F" w:rsidP="00EF493F">
            <w:pPr>
              <w:pStyle w:val="Doc-text2"/>
              <w:ind w:left="363"/>
            </w:pPr>
            <w:r w:rsidRPr="00C4106D">
              <w:rPr>
                <w:i/>
                <w:iCs/>
              </w:rPr>
              <w:t>FFS if common configuration should be allowed</w:t>
            </w:r>
          </w:p>
        </w:tc>
      </w:tr>
    </w:tbl>
    <w:p w14:paraId="4BA33016" w14:textId="77777777" w:rsidR="00EF493F" w:rsidRDefault="00EF493F" w:rsidP="00D3758D"/>
    <w:p w14:paraId="1B527D68" w14:textId="0CEC42D4" w:rsidR="00706CAB" w:rsidRDefault="008224E5" w:rsidP="00D3758D">
      <w:r>
        <w:t>RAN2 agreed the following</w:t>
      </w:r>
      <w:r w:rsidR="002935BE">
        <w:t xml:space="preserve"> in RAN2#111e</w:t>
      </w:r>
      <w:r>
        <w:t>:</w:t>
      </w:r>
    </w:p>
    <w:p w14:paraId="3C24E3EF" w14:textId="77777777" w:rsidR="008224E5" w:rsidRPr="00D3758D" w:rsidRDefault="008224E5" w:rsidP="008224E5">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9</w:t>
      </w:r>
      <w:r w:rsidRPr="00D3758D">
        <w:rPr>
          <w:i/>
          <w:iCs/>
        </w:rPr>
        <w:tab/>
        <w:t xml:space="preserve">UL/DL transmission following UL SDT without transitioning to RRC_CONNECTED is supported </w:t>
      </w:r>
    </w:p>
    <w:p w14:paraId="6E4908EF" w14:textId="77777777" w:rsidR="008224E5" w:rsidRPr="00D3758D" w:rsidRDefault="008224E5" w:rsidP="008224E5">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10</w:t>
      </w:r>
      <w:r w:rsidRPr="00D3758D">
        <w:rPr>
          <w:i/>
          <w:iCs/>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590F1BFD" w14:textId="02E8B31C" w:rsidR="008224E5" w:rsidRDefault="008224E5" w:rsidP="00D3758D"/>
    <w:p w14:paraId="342BFD6F" w14:textId="5424C9A8" w:rsidR="008224E5" w:rsidRDefault="002935BE" w:rsidP="00D3758D">
      <w:r>
        <w:t xml:space="preserve">It was left for further study whether to allow common PRACH occasions to be used for SDT and non-SDT based attempts. This would mean in practice that while the RA procedure would follow the legacy principles pretty much where the CCCH SDU is included in the MsgA/Msg3 of the RA procedure, the SDT data could be transmitted immediately after the RA procedure has been completed. Furthermore, depending on the MsgA/Msg3 payload sizes, the UE might be able to indicate availability of data already through a BSR (e.g., padding BSR). </w:t>
      </w:r>
      <w:r w:rsidR="008224E5">
        <w:t>Considering that the design will allow subsequent UL and DL transmissions after the RA procedure for SDT is complete, allowing SDT procedure using the shared RACH resources with non-SDT seems possible. For example, NW could configure the RACH such that SDT would usually use the Preambles Group B which can rarely be applied by IDLE/INACTIVE UEs not performing SDT, i</w:t>
      </w:r>
      <w:r w:rsidR="00A31376">
        <w:t>.</w:t>
      </w:r>
      <w:r w:rsidR="008224E5">
        <w:t>e., only CONNECTED mode UEs usually apply Preambles Group B.</w:t>
      </w:r>
      <w:r w:rsidR="00CF21FD">
        <w:t xml:space="preserve"> On the other hand, even using Preambles Group A with smaller grant could be possible where the data transmission would usually only happen after the RA procedure. </w:t>
      </w:r>
    </w:p>
    <w:p w14:paraId="0807FEAF" w14:textId="5653F996" w:rsidR="002935BE" w:rsidRDefault="002935BE" w:rsidP="00D3758D">
      <w:r>
        <w:t>Although the SDT transmission would not immediately benefit from transmitting the data already in MsgA/Msg3, it would still benefit in terms of latency and signalling efficiency compared to the regular resume procedure. Additionally, such SDT procedure could likely be allowed for UEs closer to cell edge given the RA procedure would have better chances for success compared to embedding data with MsgA/Msg3. This approach neither would require preserving separate RACH resources for SDT use only which could increase the RACH collision probability for the legacy UEs as well given less RACH resources could be allocated for their purposes.</w:t>
      </w:r>
    </w:p>
    <w:p w14:paraId="7D31D694" w14:textId="22590CD9" w:rsidR="00CF21FD" w:rsidRPr="00CF21FD" w:rsidRDefault="00CF21FD" w:rsidP="00D3758D">
      <w:pPr>
        <w:rPr>
          <w:b/>
          <w:bCs/>
        </w:rPr>
      </w:pPr>
      <w:r>
        <w:rPr>
          <w:b/>
          <w:bCs/>
        </w:rPr>
        <w:t xml:space="preserve">Proposal </w:t>
      </w:r>
      <w:r w:rsidR="002935BE">
        <w:rPr>
          <w:b/>
          <w:bCs/>
        </w:rPr>
        <w:t>2</w:t>
      </w:r>
      <w:r>
        <w:rPr>
          <w:b/>
          <w:bCs/>
        </w:rPr>
        <w:t>: NW can configure SDT procedure to be performed without configuring separate RACH resources for SDT</w:t>
      </w:r>
      <w:r w:rsidR="002935BE">
        <w:rPr>
          <w:b/>
          <w:bCs/>
        </w:rPr>
        <w:t>, i</w:t>
      </w:r>
      <w:r w:rsidR="003D5AC8">
        <w:rPr>
          <w:b/>
          <w:bCs/>
        </w:rPr>
        <w:t>.</w:t>
      </w:r>
      <w:r w:rsidR="002935BE">
        <w:rPr>
          <w:b/>
          <w:bCs/>
        </w:rPr>
        <w:t>e., common RACH resources for SDT and non-SDT RA procedures are supported</w:t>
      </w:r>
      <w:r>
        <w:rPr>
          <w:b/>
          <w:bCs/>
        </w:rPr>
        <w:t>.</w:t>
      </w:r>
    </w:p>
    <w:p w14:paraId="766D6D29" w14:textId="29F88674" w:rsidR="00A209D6" w:rsidRPr="006E13D1" w:rsidRDefault="00A209D6" w:rsidP="00A209D6">
      <w:pPr>
        <w:pStyle w:val="Heading1"/>
      </w:pPr>
      <w:r w:rsidRPr="006E13D1">
        <w:lastRenderedPageBreak/>
        <w:t>3</w:t>
      </w:r>
      <w:r w:rsidRPr="006E13D1">
        <w:tab/>
      </w:r>
      <w:r w:rsidR="00AC366B" w:rsidRPr="00AC366B">
        <w:t>Details of context fetch</w:t>
      </w:r>
      <w:r w:rsidR="009E5B74">
        <w:t xml:space="preserve"> and </w:t>
      </w:r>
      <w:r w:rsidR="00AC366B" w:rsidRPr="00AC366B">
        <w:t>data forwarding with and without anchor relocation</w:t>
      </w:r>
    </w:p>
    <w:p w14:paraId="3517873B" w14:textId="645987A5" w:rsidR="004B4465" w:rsidRPr="004B4465" w:rsidRDefault="00DE7FC4" w:rsidP="004B4465">
      <w:pPr>
        <w:rPr>
          <w:i/>
          <w:iCs/>
        </w:rPr>
      </w:pPr>
      <w:r>
        <w:t>RAN2</w:t>
      </w:r>
      <w:r w:rsidR="00BD4F71">
        <w:t xml:space="preserve"> has</w:t>
      </w:r>
      <w:r w:rsidR="004B4465" w:rsidRPr="004B4465">
        <w:t xml:space="preserve"> agreed to </w:t>
      </w:r>
      <w:r w:rsidR="00B81D56" w:rsidRPr="00B81D56">
        <w:t xml:space="preserve">consider </w:t>
      </w:r>
      <w:r w:rsidR="004B4465" w:rsidRPr="004B4465">
        <w:t xml:space="preserve">both context fetch and data forwarding (with and without anchor relocation) for SDT procedures in INACTIVE state that are initiated to a target gNB different than the last serving gNB (that </w:t>
      </w:r>
      <w:r w:rsidR="00AC366B" w:rsidRPr="00AC366B">
        <w:t xml:space="preserve">sent the UE in INACTIVE and </w:t>
      </w:r>
      <w:r w:rsidR="004B4465" w:rsidRPr="004B4465">
        <w:t xml:space="preserve">stores the UE AS Context). </w:t>
      </w:r>
      <w:r w:rsidR="008B6B6B">
        <w:t>RAN2</w:t>
      </w:r>
      <w:r w:rsidR="004B4465" w:rsidRPr="004B4465">
        <w:t xml:space="preserve"> </w:t>
      </w:r>
      <w:r w:rsidR="00BD4F71">
        <w:t>has also</w:t>
      </w:r>
      <w:r w:rsidR="004B4465" w:rsidRPr="004B4465">
        <w:t xml:space="preserve"> agreed that the RLC bearer configuration to use for SDT is based on the </w:t>
      </w:r>
      <w:r w:rsidR="00BD4F71">
        <w:t xml:space="preserve">UE-specific RLC </w:t>
      </w:r>
      <w:r w:rsidR="004B4465" w:rsidRPr="004B4465">
        <w:t>configuration stored in the UE AS context.</w:t>
      </w:r>
    </w:p>
    <w:p w14:paraId="353BDF4D" w14:textId="495C00CB" w:rsidR="004B4465" w:rsidRPr="004B4465" w:rsidRDefault="004B4465" w:rsidP="004B4465">
      <w:pPr>
        <w:rPr>
          <w:lang w:val="en-US"/>
        </w:rPr>
      </w:pPr>
      <w:r w:rsidRPr="004B4465">
        <w:rPr>
          <w:lang w:val="en-US"/>
        </w:rPr>
        <w:t xml:space="preserve">Data forwarding for improved data latency entails that SDT data is forwarded from the target gNB to the last serving gNB, which deciphers and sends it to the 5GC. DL data may be also forwarded by the last serving gNB to the target gNB. </w:t>
      </w:r>
      <w:r w:rsidR="008B6B6B">
        <w:rPr>
          <w:lang w:val="en-US"/>
        </w:rPr>
        <w:t xml:space="preserve">As SDT is meant for small data only, the associated capacity demands </w:t>
      </w:r>
      <w:r w:rsidR="00161D15">
        <w:rPr>
          <w:lang w:val="en-US"/>
        </w:rPr>
        <w:t>on t</w:t>
      </w:r>
      <w:r w:rsidR="00FC4731">
        <w:rPr>
          <w:lang w:val="en-US"/>
        </w:rPr>
        <w:t xml:space="preserve">he Xn interface from </w:t>
      </w:r>
      <w:r w:rsidR="008B6B6B">
        <w:rPr>
          <w:lang w:val="en-US"/>
        </w:rPr>
        <w:t xml:space="preserve">data forwarding can be insignificant. Furthermore, the forwarding </w:t>
      </w:r>
      <w:r w:rsidR="00161D15">
        <w:rPr>
          <w:lang w:val="en-US"/>
        </w:rPr>
        <w:t xml:space="preserve">need not </w:t>
      </w:r>
      <w:r w:rsidR="00FC4731">
        <w:rPr>
          <w:lang w:val="en-US"/>
        </w:rPr>
        <w:t xml:space="preserve">increase </w:t>
      </w:r>
      <w:r w:rsidR="00161D15">
        <w:rPr>
          <w:lang w:val="en-US"/>
        </w:rPr>
        <w:t xml:space="preserve">the number </w:t>
      </w:r>
      <w:r w:rsidR="000F028B">
        <w:rPr>
          <w:lang w:val="en-US"/>
        </w:rPr>
        <w:t>of signaling</w:t>
      </w:r>
      <w:r w:rsidR="00FC4731">
        <w:rPr>
          <w:lang w:val="en-US"/>
        </w:rPr>
        <w:t xml:space="preserve"> messages </w:t>
      </w:r>
      <w:r w:rsidR="00161D15">
        <w:rPr>
          <w:lang w:val="en-US"/>
        </w:rPr>
        <w:t xml:space="preserve">over the Xn interface </w:t>
      </w:r>
      <w:r w:rsidR="00FC4731">
        <w:rPr>
          <w:lang w:val="en-US"/>
        </w:rPr>
        <w:t>since it can be performed along with the Retrieve UE Context Request message or alike message.</w:t>
      </w:r>
      <w:r w:rsidR="008B6B6B">
        <w:rPr>
          <w:lang w:val="en-US"/>
        </w:rPr>
        <w:t xml:space="preserve"> </w:t>
      </w:r>
      <w:r w:rsidR="00161D15">
        <w:rPr>
          <w:lang w:val="en-US"/>
        </w:rPr>
        <w:t xml:space="preserve"> </w:t>
      </w:r>
    </w:p>
    <w:p w14:paraId="54F267B6" w14:textId="00DC32AA" w:rsidR="004B4465" w:rsidRPr="004B4465" w:rsidRDefault="004B4465" w:rsidP="004B4465">
      <w:r w:rsidRPr="004B4465">
        <w:rPr>
          <w:lang w:val="en-US"/>
        </w:rPr>
        <w:t xml:space="preserve">For the case of data forwarding </w:t>
      </w:r>
      <w:r w:rsidRPr="004B4465">
        <w:rPr>
          <w:i/>
          <w:iCs/>
          <w:lang w:val="en-US"/>
        </w:rPr>
        <w:t xml:space="preserve">without </w:t>
      </w:r>
      <w:r w:rsidRPr="004B4465">
        <w:rPr>
          <w:lang w:val="en-US"/>
        </w:rPr>
        <w:t>anchor relocation, the UE AS context is retained at the last serving gNB and no path switch to the target gNB is performed, reducing the associated network signaling</w:t>
      </w:r>
      <w:r w:rsidR="00377022">
        <w:rPr>
          <w:lang w:val="en-US"/>
        </w:rPr>
        <w:t>. This strategy can be appealing whenever the data forwarding delay (one-way Xn latency) can be tolerated, which could be expected in the majority of small data use cases.</w:t>
      </w:r>
    </w:p>
    <w:p w14:paraId="728189AE" w14:textId="36363858" w:rsidR="004B4465" w:rsidRDefault="004B4465" w:rsidP="004B4465">
      <w:pPr>
        <w:rPr>
          <w:lang w:val="en-US"/>
        </w:rPr>
      </w:pPr>
      <w:r w:rsidRPr="004B4465">
        <w:rPr>
          <w:lang w:val="en-US"/>
        </w:rPr>
        <w:t xml:space="preserve">For the case of data forwarding </w:t>
      </w:r>
      <w:r w:rsidRPr="004B4465">
        <w:rPr>
          <w:i/>
          <w:iCs/>
          <w:lang w:val="en-US"/>
        </w:rPr>
        <w:t>with</w:t>
      </w:r>
      <w:r w:rsidRPr="004B4465">
        <w:rPr>
          <w:lang w:val="en-US"/>
        </w:rPr>
        <w:t xml:space="preserve"> anchor relocation, the UE AS context is relocated and path switch to the target gNB is performed </w:t>
      </w:r>
      <w:r w:rsidR="00E90B11">
        <w:rPr>
          <w:lang w:val="en-US"/>
        </w:rPr>
        <w:t>along with</w:t>
      </w:r>
      <w:r w:rsidRPr="004B4465">
        <w:rPr>
          <w:lang w:val="en-US"/>
        </w:rPr>
        <w:t xml:space="preserve"> the data forwarding. This allows the target gNB to be ready for subsequent SDT transmissions or subsequent SDT procedures that the UE may initiate to the same target gNB. </w:t>
      </w:r>
    </w:p>
    <w:p w14:paraId="6C9BFEFE" w14:textId="591C512C" w:rsidR="00BF0D3F" w:rsidRDefault="00BF0D3F" w:rsidP="008F7023">
      <w:r w:rsidRPr="004B4465">
        <w:rPr>
          <w:b/>
          <w:lang w:val="en-US"/>
        </w:rPr>
        <w:t xml:space="preserve">Observation </w:t>
      </w:r>
      <w:r>
        <w:rPr>
          <w:b/>
          <w:lang w:val="en-US"/>
        </w:rPr>
        <w:t>1</w:t>
      </w:r>
      <w:r w:rsidRPr="004B4465">
        <w:rPr>
          <w:lang w:val="en-US"/>
        </w:rPr>
        <w:t>:</w:t>
      </w:r>
      <w:r>
        <w:rPr>
          <w:lang w:val="en-US"/>
        </w:rPr>
        <w:t xml:space="preserve"> </w:t>
      </w:r>
      <w:r w:rsidRPr="00BF0D3F">
        <w:rPr>
          <w:lang w:val="en-US"/>
        </w:rPr>
        <w:t>D</w:t>
      </w:r>
      <w:r w:rsidRPr="004B4465">
        <w:t>ata forwarding</w:t>
      </w:r>
      <w:r w:rsidRPr="00BF0D3F">
        <w:t xml:space="preserve"> with and without anchor relocation</w:t>
      </w:r>
      <w:r>
        <w:t xml:space="preserve"> </w:t>
      </w:r>
      <w:r w:rsidR="00E90B11">
        <w:t xml:space="preserve">may </w:t>
      </w:r>
      <w:r>
        <w:t>provide data latency and network signalling benefits</w:t>
      </w:r>
      <w:r w:rsidR="00884D30">
        <w:t xml:space="preserve"> and their adoption should be up to the network</w:t>
      </w:r>
      <w:r>
        <w:t>.</w:t>
      </w:r>
    </w:p>
    <w:p w14:paraId="641B156E" w14:textId="0E28D941" w:rsidR="00D64046" w:rsidRPr="00273F99" w:rsidRDefault="00D64046" w:rsidP="00D64046">
      <w:pPr>
        <w:rPr>
          <w:rFonts w:eastAsia="SimSun"/>
          <w:lang w:eastAsia="zh-CN"/>
        </w:rPr>
      </w:pPr>
      <w:r>
        <w:t>I</w:t>
      </w:r>
      <w:r w:rsidRPr="00ED73A4">
        <w:t xml:space="preserve">n </w:t>
      </w:r>
      <w:r>
        <w:t xml:space="preserve">general, in </w:t>
      </w:r>
      <w:r w:rsidRPr="00ED73A4">
        <w:t xml:space="preserve">case of SDT </w:t>
      </w:r>
      <w:r w:rsidRPr="002146E4">
        <w:rPr>
          <w:i/>
          <w:iCs/>
        </w:rPr>
        <w:t>with</w:t>
      </w:r>
      <w:r>
        <w:t xml:space="preserve"> </w:t>
      </w:r>
      <w:r w:rsidRPr="00ED73A4">
        <w:t>anchor relocation</w:t>
      </w:r>
      <w:r>
        <w:t>,</w:t>
      </w:r>
      <w:r>
        <w:rPr>
          <w:rFonts w:eastAsia="SimSun"/>
          <w:lang w:eastAsia="zh-CN"/>
        </w:rPr>
        <w:t xml:space="preserve"> it</w:t>
      </w:r>
      <w:r w:rsidRPr="00273F99">
        <w:rPr>
          <w:rFonts w:eastAsia="SimSun"/>
          <w:lang w:eastAsia="zh-CN"/>
        </w:rPr>
        <w:t xml:space="preserve"> is not clear which node should decide whether the full </w:t>
      </w:r>
      <w:r>
        <w:rPr>
          <w:rFonts w:eastAsia="SimSun"/>
          <w:lang w:eastAsia="zh-CN"/>
        </w:rPr>
        <w:t xml:space="preserve">UE AS </w:t>
      </w:r>
      <w:r w:rsidRPr="00273F99">
        <w:rPr>
          <w:rFonts w:eastAsia="SimSun"/>
          <w:lang w:eastAsia="zh-CN"/>
        </w:rPr>
        <w:t>context should be fetched or not</w:t>
      </w:r>
      <w:r w:rsidR="002146E4">
        <w:rPr>
          <w:rFonts w:eastAsia="SimSun"/>
          <w:lang w:eastAsia="zh-CN"/>
        </w:rPr>
        <w:t>, as discussed in</w:t>
      </w:r>
      <w:r w:rsidR="002146E4">
        <w:t xml:space="preserve"> </w:t>
      </w:r>
      <w:r w:rsidR="00977E62">
        <w:t>R3-210056</w:t>
      </w:r>
      <w:r>
        <w:rPr>
          <w:rFonts w:eastAsia="SimSun"/>
          <w:lang w:eastAsia="zh-CN"/>
        </w:rPr>
        <w:t xml:space="preserve">. </w:t>
      </w:r>
      <w:r w:rsidRPr="00273F99">
        <w:rPr>
          <w:rFonts w:eastAsia="SimSun"/>
          <w:lang w:eastAsia="zh-CN"/>
        </w:rPr>
        <w:t xml:space="preserve">There </w:t>
      </w:r>
      <w:r>
        <w:rPr>
          <w:rFonts w:eastAsia="SimSun"/>
          <w:lang w:eastAsia="zh-CN"/>
        </w:rPr>
        <w:t xml:space="preserve">may be </w:t>
      </w:r>
      <w:r w:rsidRPr="00273F99">
        <w:rPr>
          <w:rFonts w:eastAsia="SimSun"/>
          <w:lang w:eastAsia="zh-CN"/>
        </w:rPr>
        <w:t>situations where the target gNB could have compelling reasons to become the new anchor gNB</w:t>
      </w:r>
      <w:r>
        <w:rPr>
          <w:rFonts w:eastAsia="SimSun"/>
          <w:lang w:eastAsia="zh-CN"/>
        </w:rPr>
        <w:t>, f</w:t>
      </w:r>
      <w:r w:rsidRPr="00273F99">
        <w:rPr>
          <w:rFonts w:eastAsia="SimSun"/>
          <w:lang w:eastAsia="zh-CN"/>
        </w:rPr>
        <w:t>or example,</w:t>
      </w:r>
      <w:r w:rsidR="002146E4">
        <w:rPr>
          <w:rFonts w:eastAsia="SimSun"/>
          <w:lang w:eastAsia="zh-CN"/>
        </w:rPr>
        <w:t xml:space="preserve"> in </w:t>
      </w:r>
      <w:r w:rsidRPr="00273F99">
        <w:rPr>
          <w:rFonts w:eastAsia="SimSun"/>
          <w:lang w:eastAsia="zh-CN"/>
        </w:rPr>
        <w:t>th</w:t>
      </w:r>
      <w:r w:rsidR="002146E4">
        <w:rPr>
          <w:rFonts w:eastAsia="SimSun"/>
          <w:lang w:eastAsia="zh-CN"/>
        </w:rPr>
        <w:t>e</w:t>
      </w:r>
      <w:r w:rsidRPr="00273F99">
        <w:rPr>
          <w:rFonts w:eastAsia="SimSun"/>
          <w:lang w:eastAsia="zh-CN"/>
        </w:rPr>
        <w:t xml:space="preserve"> case the target gNB </w:t>
      </w:r>
      <w:r w:rsidR="004B3E4B">
        <w:rPr>
          <w:rFonts w:eastAsia="SimSun"/>
          <w:lang w:eastAsia="zh-CN"/>
        </w:rPr>
        <w:t>has decided that it is beneficial</w:t>
      </w:r>
      <w:r w:rsidRPr="00273F99">
        <w:rPr>
          <w:rFonts w:eastAsia="SimSun"/>
          <w:lang w:eastAsia="zh-CN"/>
        </w:rPr>
        <w:t xml:space="preserve"> to move the UE to </w:t>
      </w:r>
      <w:r>
        <w:rPr>
          <w:rFonts w:eastAsia="SimSun"/>
          <w:lang w:eastAsia="zh-CN"/>
        </w:rPr>
        <w:t xml:space="preserve">the </w:t>
      </w:r>
      <w:r w:rsidRPr="00273F99">
        <w:rPr>
          <w:rFonts w:eastAsia="SimSun"/>
          <w:lang w:eastAsia="zh-CN"/>
        </w:rPr>
        <w:t>RRC</w:t>
      </w:r>
      <w:r>
        <w:rPr>
          <w:rFonts w:eastAsia="SimSun"/>
          <w:lang w:eastAsia="zh-CN"/>
        </w:rPr>
        <w:t xml:space="preserve">_CONNECTED </w:t>
      </w:r>
      <w:r w:rsidRPr="00273F99">
        <w:rPr>
          <w:rFonts w:eastAsia="SimSun"/>
          <w:lang w:eastAsia="zh-CN"/>
        </w:rPr>
        <w:t>state and therefore become the new anchor gNB.</w:t>
      </w:r>
      <w:r>
        <w:rPr>
          <w:rFonts w:eastAsia="SimSun"/>
          <w:lang w:eastAsia="zh-CN"/>
        </w:rPr>
        <w:t xml:space="preserve"> </w:t>
      </w:r>
      <w:r w:rsidR="004B3E4B">
        <w:rPr>
          <w:rFonts w:eastAsia="SimSun"/>
          <w:lang w:eastAsia="zh-CN"/>
        </w:rPr>
        <w:t>This may happen if</w:t>
      </w:r>
      <w:r w:rsidR="004B3E4B" w:rsidRPr="00273F99">
        <w:rPr>
          <w:rFonts w:eastAsia="SimSun"/>
          <w:lang w:eastAsia="zh-CN"/>
        </w:rPr>
        <w:t xml:space="preserve"> the UE has indicated that </w:t>
      </w:r>
      <w:r w:rsidR="004B3E4B">
        <w:rPr>
          <w:rFonts w:eastAsia="SimSun"/>
          <w:lang w:eastAsia="zh-CN"/>
        </w:rPr>
        <w:t xml:space="preserve">a </w:t>
      </w:r>
      <w:r w:rsidR="004B3E4B" w:rsidRPr="00273F99">
        <w:rPr>
          <w:rFonts w:eastAsia="SimSun"/>
          <w:lang w:eastAsia="zh-CN"/>
        </w:rPr>
        <w:t>significant amount of data is to be expected or has indicated the presence of non-SDT data in its buffer</w:t>
      </w:r>
      <w:r w:rsidR="004B3E4B">
        <w:rPr>
          <w:rFonts w:eastAsia="SimSun"/>
          <w:lang w:eastAsia="zh-CN"/>
        </w:rPr>
        <w:t>.</w:t>
      </w:r>
      <w:r w:rsidR="004B3E4B" w:rsidRPr="00273F99">
        <w:rPr>
          <w:rFonts w:eastAsia="SimSun"/>
          <w:lang w:eastAsia="zh-CN"/>
        </w:rPr>
        <w:t xml:space="preserve"> </w:t>
      </w:r>
      <w:r w:rsidRPr="00273F99">
        <w:rPr>
          <w:rFonts w:eastAsia="SimSun"/>
          <w:lang w:eastAsia="zh-CN"/>
        </w:rPr>
        <w:t xml:space="preserve">There </w:t>
      </w:r>
      <w:r>
        <w:rPr>
          <w:rFonts w:eastAsia="SimSun"/>
          <w:lang w:eastAsia="zh-CN"/>
        </w:rPr>
        <w:t xml:space="preserve">may be </w:t>
      </w:r>
      <w:r w:rsidRPr="00273F99">
        <w:rPr>
          <w:rFonts w:eastAsia="SimSun"/>
          <w:lang w:eastAsia="zh-CN"/>
        </w:rPr>
        <w:t>opposite situations where the target gNB could instead have a strong preference to not become</w:t>
      </w:r>
      <w:r>
        <w:rPr>
          <w:rFonts w:eastAsia="SimSun"/>
          <w:lang w:eastAsia="zh-CN"/>
        </w:rPr>
        <w:t xml:space="preserve"> the</w:t>
      </w:r>
      <w:r w:rsidRPr="00273F99">
        <w:rPr>
          <w:rFonts w:eastAsia="SimSun"/>
          <w:lang w:eastAsia="zh-CN"/>
        </w:rPr>
        <w:t xml:space="preserve"> anchor gNB. This could be the case for example due to its load situation</w:t>
      </w:r>
      <w:r>
        <w:rPr>
          <w:rFonts w:eastAsia="SimSun"/>
          <w:lang w:eastAsia="zh-CN"/>
        </w:rPr>
        <w:t>,</w:t>
      </w:r>
      <w:r w:rsidRPr="00273F99">
        <w:rPr>
          <w:rFonts w:eastAsia="SimSun"/>
          <w:lang w:eastAsia="zh-CN"/>
        </w:rPr>
        <w:t xml:space="preserve"> e.g. the target gNB is in high load and prefers that the SDT transaction continues keeping the old anchor gNB.</w:t>
      </w:r>
      <w:r>
        <w:rPr>
          <w:rFonts w:eastAsia="SimSun"/>
          <w:lang w:eastAsia="zh-CN"/>
        </w:rPr>
        <w:t xml:space="preserve"> Moreover, t</w:t>
      </w:r>
      <w:r w:rsidRPr="00273F99">
        <w:rPr>
          <w:rFonts w:eastAsia="SimSun"/>
          <w:lang w:eastAsia="zh-CN"/>
        </w:rPr>
        <w:t xml:space="preserve">here </w:t>
      </w:r>
      <w:r>
        <w:rPr>
          <w:rFonts w:eastAsia="SimSun"/>
          <w:lang w:eastAsia="zh-CN"/>
        </w:rPr>
        <w:t>may be</w:t>
      </w:r>
      <w:r w:rsidRPr="00273F99">
        <w:rPr>
          <w:rFonts w:eastAsia="SimSun"/>
          <w:lang w:eastAsia="zh-CN"/>
        </w:rPr>
        <w:t xml:space="preserve"> situations where the target gNB would have no compelling reason, or no preference in either direction, then the anchor gNB could decide whether to relocate the anchor function or not based on its own information: for example, based on past </w:t>
      </w:r>
      <w:r>
        <w:rPr>
          <w:rFonts w:eastAsia="SimSun"/>
          <w:lang w:eastAsia="zh-CN"/>
        </w:rPr>
        <w:t xml:space="preserve">UE </w:t>
      </w:r>
      <w:r w:rsidRPr="00273F99">
        <w:rPr>
          <w:rFonts w:eastAsia="SimSun"/>
          <w:lang w:eastAsia="zh-CN"/>
        </w:rPr>
        <w:t>traffic activity/</w:t>
      </w:r>
      <w:r>
        <w:rPr>
          <w:rFonts w:eastAsia="SimSun"/>
          <w:lang w:eastAsia="zh-CN"/>
        </w:rPr>
        <w:t>mobility</w:t>
      </w:r>
      <w:r w:rsidRPr="00273F99">
        <w:rPr>
          <w:rFonts w:eastAsia="SimSun"/>
          <w:lang w:eastAsia="zh-CN"/>
        </w:rPr>
        <w:t xml:space="preserve"> estimation it could judge whether it is worth relocating t</w:t>
      </w:r>
      <w:r>
        <w:rPr>
          <w:rFonts w:eastAsia="SimSun"/>
          <w:lang w:eastAsia="zh-CN"/>
        </w:rPr>
        <w:t>he UE AS context</w:t>
      </w:r>
      <w:r w:rsidRPr="00273F99">
        <w:rPr>
          <w:rFonts w:eastAsia="SimSun"/>
          <w:lang w:eastAsia="zh-CN"/>
        </w:rPr>
        <w:t>.</w:t>
      </w:r>
    </w:p>
    <w:p w14:paraId="7E12088E" w14:textId="052AC544" w:rsidR="00D64046" w:rsidRPr="00273F99" w:rsidRDefault="00D64046" w:rsidP="00D64046">
      <w:pPr>
        <w:rPr>
          <w:rFonts w:eastAsia="SimSun"/>
          <w:lang w:eastAsia="zh-CN"/>
        </w:rPr>
      </w:pPr>
      <w:r w:rsidRPr="00273F99">
        <w:rPr>
          <w:rFonts w:eastAsia="SimSun"/>
          <w:b/>
          <w:bCs/>
          <w:lang w:eastAsia="zh-CN"/>
        </w:rPr>
        <w:t xml:space="preserve">Observation </w:t>
      </w:r>
      <w:r w:rsidR="00A31376">
        <w:rPr>
          <w:rFonts w:eastAsia="SimSun"/>
          <w:b/>
          <w:bCs/>
          <w:lang w:eastAsia="zh-CN"/>
        </w:rPr>
        <w:t>2</w:t>
      </w:r>
      <w:r w:rsidRPr="00273F99">
        <w:rPr>
          <w:rFonts w:eastAsia="SimSun"/>
          <w:lang w:eastAsia="zh-CN"/>
        </w:rPr>
        <w:t xml:space="preserve">: </w:t>
      </w:r>
      <w:r>
        <w:rPr>
          <w:rFonts w:eastAsia="SimSun"/>
          <w:lang w:eastAsia="zh-CN"/>
        </w:rPr>
        <w:t>T</w:t>
      </w:r>
      <w:r w:rsidRPr="00273F99">
        <w:rPr>
          <w:rFonts w:eastAsia="SimSun"/>
          <w:lang w:eastAsia="zh-CN"/>
        </w:rPr>
        <w:t>o cope with the various use cases</w:t>
      </w:r>
      <w:r>
        <w:rPr>
          <w:rFonts w:eastAsia="SimSun"/>
          <w:lang w:eastAsia="zh-CN"/>
        </w:rPr>
        <w:t xml:space="preserve"> and needs</w:t>
      </w:r>
      <w:r w:rsidRPr="00273F99">
        <w:rPr>
          <w:rFonts w:eastAsia="SimSun"/>
          <w:lang w:eastAsia="zh-CN"/>
        </w:rPr>
        <w:t xml:space="preserve">, the target gNB should be able to request the </w:t>
      </w:r>
      <w:r>
        <w:rPr>
          <w:rFonts w:eastAsia="SimSun"/>
          <w:lang w:eastAsia="zh-CN"/>
        </w:rPr>
        <w:t>UE</w:t>
      </w:r>
      <w:r w:rsidRPr="00273F99">
        <w:rPr>
          <w:rFonts w:eastAsia="SimSun"/>
          <w:lang w:eastAsia="zh-CN"/>
        </w:rPr>
        <w:t xml:space="preserve"> </w:t>
      </w:r>
      <w:r>
        <w:rPr>
          <w:rFonts w:eastAsia="SimSun"/>
          <w:lang w:eastAsia="zh-CN"/>
        </w:rPr>
        <w:t>AS</w:t>
      </w:r>
      <w:r w:rsidRPr="00273F99">
        <w:rPr>
          <w:rFonts w:eastAsia="SimSun"/>
          <w:lang w:eastAsia="zh-CN"/>
        </w:rPr>
        <w:t xml:space="preserve"> context relocation when needed or indicate that it leaves the decision to the anchor gNB.</w:t>
      </w:r>
    </w:p>
    <w:p w14:paraId="14DF297F" w14:textId="5125CDE5" w:rsidR="00D64046" w:rsidRPr="00F623F1" w:rsidRDefault="00D64046" w:rsidP="00D64046">
      <w:pPr>
        <w:rPr>
          <w:rFonts w:eastAsia="SimSun"/>
          <w:b/>
          <w:lang w:val="en-US" w:eastAsia="zh-CN"/>
        </w:rPr>
      </w:pPr>
      <w:r w:rsidRPr="00F623F1">
        <w:rPr>
          <w:rFonts w:eastAsia="SimSun"/>
          <w:b/>
          <w:lang w:val="en-US" w:eastAsia="zh-CN"/>
        </w:rPr>
        <w:t xml:space="preserve">Proposal </w:t>
      </w:r>
      <w:r w:rsidR="00BA02D5" w:rsidRPr="00F623F1">
        <w:rPr>
          <w:rFonts w:eastAsia="SimSun"/>
          <w:b/>
          <w:lang w:val="en-US" w:eastAsia="zh-CN"/>
        </w:rPr>
        <w:t>3</w:t>
      </w:r>
      <w:r w:rsidRPr="00F623F1">
        <w:rPr>
          <w:rFonts w:eastAsia="SimSun"/>
          <w:b/>
          <w:lang w:val="en-US" w:eastAsia="zh-CN"/>
        </w:rPr>
        <w:t>: The</w:t>
      </w:r>
      <w:r w:rsidRPr="00F623F1">
        <w:rPr>
          <w:rFonts w:eastAsia="SimSun"/>
          <w:b/>
          <w:lang w:eastAsia="zh-CN"/>
        </w:rPr>
        <w:t xml:space="preserve"> target gNB should be able to request the UE AS context retrieval when needed or indicate that it leaves the decision to the anchor gNB whether the full UE AS context. </w:t>
      </w:r>
    </w:p>
    <w:p w14:paraId="6E8BCCDF" w14:textId="55FCCD3A" w:rsidR="004B4465" w:rsidRPr="004B4465" w:rsidRDefault="00F72817" w:rsidP="004B4465">
      <w:r w:rsidRPr="00F72817">
        <w:rPr>
          <w:lang w:val="en-US"/>
        </w:rPr>
        <w:t xml:space="preserve">Furthermore, </w:t>
      </w:r>
      <w:r>
        <w:t>t</w:t>
      </w:r>
      <w:r w:rsidR="004B4465" w:rsidRPr="004B4465">
        <w:t xml:space="preserve">he UE applies ciphering to the UL </w:t>
      </w:r>
      <w:r w:rsidR="00BA02D5">
        <w:t>SDT</w:t>
      </w:r>
      <w:r w:rsidR="003D5AC8">
        <w:t xml:space="preserve"> </w:t>
      </w:r>
      <w:r w:rsidR="004B4465" w:rsidRPr="004B4465">
        <w:t xml:space="preserve">data based on the security information stored in the UE AS Context, where it derives the ciphering key using the Next-Hop Chaining Count (NCC) parameter provided to the UE by the last serving gNB upon RRC state transition to RRC_INACTIVE. This </w:t>
      </w:r>
      <w:r w:rsidR="009E36CE">
        <w:t>is according to the</w:t>
      </w:r>
      <w:r w:rsidR="004B4465" w:rsidRPr="004B4465">
        <w:t xml:space="preserve"> existing security framework as per UP-EDT</w:t>
      </w:r>
      <w:r w:rsidR="004B4465" w:rsidRPr="0018267B">
        <w:t>.</w:t>
      </w:r>
      <w:r w:rsidR="00F852CA">
        <w:t xml:space="preserve"> </w:t>
      </w:r>
      <w:r w:rsidR="004B4465" w:rsidRPr="004B4465">
        <w:t>Thus, when using data forwarding (</w:t>
      </w:r>
      <w:r w:rsidR="00B81D56">
        <w:rPr>
          <w:lang w:val="en-US"/>
        </w:rPr>
        <w:t xml:space="preserve">e.g. </w:t>
      </w:r>
      <w:r w:rsidR="004B4465" w:rsidRPr="004B4465">
        <w:rPr>
          <w:lang w:val="en-US"/>
        </w:rPr>
        <w:t>without anchor relocation)</w:t>
      </w:r>
      <w:r w:rsidR="004B4465" w:rsidRPr="004B4465">
        <w:t xml:space="preserve">, the last serving gNB should terminate the PDCP protocol layer for the </w:t>
      </w:r>
      <w:r w:rsidR="009E36CE">
        <w:t xml:space="preserve">SDT </w:t>
      </w:r>
      <w:r w:rsidR="004B4465" w:rsidRPr="004B4465">
        <w:t xml:space="preserve">DRB and perform PDCP processing including deciphering. </w:t>
      </w:r>
    </w:p>
    <w:p w14:paraId="1324E6E3" w14:textId="0F46D601" w:rsidR="004B4465" w:rsidRDefault="004B4465" w:rsidP="004B4465">
      <w:pPr>
        <w:rPr>
          <w:b/>
          <w:bCs/>
        </w:rPr>
      </w:pPr>
      <w:r w:rsidRPr="004B4465">
        <w:rPr>
          <w:b/>
          <w:bCs/>
          <w:lang w:val="en-US"/>
        </w:rPr>
        <w:t xml:space="preserve">Proposal </w:t>
      </w:r>
      <w:r w:rsidR="00BA02D5">
        <w:rPr>
          <w:b/>
          <w:bCs/>
          <w:lang w:val="en-US"/>
        </w:rPr>
        <w:t>4</w:t>
      </w:r>
      <w:r w:rsidRPr="004B4465">
        <w:rPr>
          <w:b/>
          <w:bCs/>
          <w:lang w:val="en-US"/>
        </w:rPr>
        <w:t xml:space="preserve">: The </w:t>
      </w:r>
      <w:r w:rsidRPr="004B4465">
        <w:rPr>
          <w:b/>
          <w:bCs/>
        </w:rPr>
        <w:t xml:space="preserve">PDCP protocol instance for an SDT DRB can be terminated at the last serving gNB </w:t>
      </w:r>
      <w:r w:rsidR="000F0CF6">
        <w:rPr>
          <w:b/>
          <w:bCs/>
        </w:rPr>
        <w:t>when</w:t>
      </w:r>
      <w:r w:rsidRPr="004B4465">
        <w:rPr>
          <w:b/>
          <w:bCs/>
        </w:rPr>
        <w:t xml:space="preserve"> data forwarding</w:t>
      </w:r>
      <w:r w:rsidR="000F0CF6">
        <w:rPr>
          <w:b/>
          <w:bCs/>
        </w:rPr>
        <w:t xml:space="preserve"> is used</w:t>
      </w:r>
      <w:r w:rsidRPr="004B4465">
        <w:rPr>
          <w:b/>
          <w:bCs/>
        </w:rPr>
        <w:t xml:space="preserve">. </w:t>
      </w:r>
    </w:p>
    <w:p w14:paraId="2F1133C7" w14:textId="6C3B52D1" w:rsidR="005938DC" w:rsidRPr="00D32B6A" w:rsidRDefault="005938DC" w:rsidP="004B4465">
      <w:bookmarkStart w:id="0" w:name="_Hlk54250413"/>
      <w:r w:rsidRPr="00D32B6A">
        <w:t>Since the PDCP instance of the SDT DRB is to be terminated at the last serving gNB, when data forwarding is applied by a target gNB adopting a RAN split architecture, it may be considered whether the UL data could be tunnelled directly by the target gNB-DU (MAC/RLC) to the target gNB-CU-CP control-plane entity (RRC) without the need to involve the target gNB-CU-UP user-plane entity (PDCP). However, these aspects are under RAN3 responsibility</w:t>
      </w:r>
      <w:r w:rsidR="001D527C">
        <w:t xml:space="preserve"> and are going to be discussed in RAN3</w:t>
      </w:r>
      <w:r w:rsidR="00F3714F">
        <w:t xml:space="preserve">, </w:t>
      </w:r>
      <w:r w:rsidR="001D527C">
        <w:t xml:space="preserve">see </w:t>
      </w:r>
      <w:r w:rsidR="00977E62">
        <w:t>R3-210056, R3-210057</w:t>
      </w:r>
      <w:r w:rsidRPr="00D32B6A">
        <w:t>.</w:t>
      </w:r>
    </w:p>
    <w:bookmarkEnd w:id="0"/>
    <w:p w14:paraId="3647C584" w14:textId="7EF9D7D3" w:rsidR="00777546" w:rsidRDefault="00790EDD" w:rsidP="00E4037C">
      <w:r w:rsidRPr="00ED73A4">
        <w:t xml:space="preserve">In case of SDT </w:t>
      </w:r>
      <w:r>
        <w:t xml:space="preserve">with data forwarding </w:t>
      </w:r>
      <w:r w:rsidRPr="00ED73A4">
        <w:t>without anchor relocation</w:t>
      </w:r>
      <w:r>
        <w:t>,</w:t>
      </w:r>
      <w:r w:rsidRPr="004B4465" w:rsidDel="001D527C">
        <w:rPr>
          <w:b/>
          <w:bCs/>
          <w:lang w:val="en-US"/>
        </w:rPr>
        <w:t xml:space="preserve"> </w:t>
      </w:r>
      <w:r w:rsidR="001D527C" w:rsidRPr="00ED73A4">
        <w:t>as a result</w:t>
      </w:r>
      <w:r w:rsidR="001D527C">
        <w:rPr>
          <w:lang w:val="en-US"/>
        </w:rPr>
        <w:t xml:space="preserve"> of the agreement of using the </w:t>
      </w:r>
      <w:r w:rsidR="001D527C" w:rsidRPr="001D527C">
        <w:t>RLC configuration stored in UE Context</w:t>
      </w:r>
      <w:r w:rsidR="001D527C">
        <w:t xml:space="preserve"> for SDT, </w:t>
      </w:r>
      <w:r w:rsidR="00ED73A4" w:rsidRPr="00ED73A4">
        <w:t>it is still needed for the target gNB to fetch the RLC context from the anchor gNB</w:t>
      </w:r>
      <w:r w:rsidR="00ED73A4">
        <w:t xml:space="preserve"> to process the received </w:t>
      </w:r>
      <w:r w:rsidR="00ED73A4" w:rsidRPr="004B4465">
        <w:t xml:space="preserve">RLC </w:t>
      </w:r>
      <w:r w:rsidR="00ED73A4">
        <w:t xml:space="preserve">PDU </w:t>
      </w:r>
      <w:r w:rsidR="00777546">
        <w:t>before data forwarding can take place</w:t>
      </w:r>
      <w:r w:rsidR="00ED73A4" w:rsidRPr="00ED73A4">
        <w:t>.</w:t>
      </w:r>
      <w:r w:rsidR="00777546">
        <w:t xml:space="preserve"> </w:t>
      </w:r>
      <w:r w:rsidR="00ED73A4">
        <w:t xml:space="preserve">This </w:t>
      </w:r>
      <w:r w:rsidR="00F20434">
        <w:t>vanish</w:t>
      </w:r>
      <w:r w:rsidR="00ED73A4">
        <w:t>es</w:t>
      </w:r>
      <w:r w:rsidR="004B4465" w:rsidRPr="004B4465">
        <w:t xml:space="preserve"> the latency benefits </w:t>
      </w:r>
      <w:r w:rsidR="004B4465" w:rsidRPr="004B4465">
        <w:lastRenderedPageBreak/>
        <w:t>of data forwarding</w:t>
      </w:r>
      <w:r w:rsidR="000F0CF6">
        <w:t xml:space="preserve"> </w:t>
      </w:r>
      <w:r w:rsidR="00E9757F">
        <w:t xml:space="preserve">due to the required </w:t>
      </w:r>
      <w:r w:rsidR="00E9757F" w:rsidRPr="00E9757F">
        <w:t xml:space="preserve">buffering delay at the target gNB while waiting for the context </w:t>
      </w:r>
      <w:r w:rsidR="000F0CF6">
        <w:t>and mandate</w:t>
      </w:r>
      <w:r w:rsidR="00777546">
        <w:t>s</w:t>
      </w:r>
      <w:r w:rsidR="000F0CF6">
        <w:t xml:space="preserve"> </w:t>
      </w:r>
      <w:r w:rsidR="00ED73A4">
        <w:t xml:space="preserve">a partial </w:t>
      </w:r>
      <w:r w:rsidR="000F0CF6" w:rsidRPr="004B4465">
        <w:t xml:space="preserve">context </w:t>
      </w:r>
      <w:r w:rsidR="000F0CF6">
        <w:t>retrieve also when no anchor</w:t>
      </w:r>
      <w:r w:rsidR="000F0CF6" w:rsidRPr="004B4465">
        <w:t xml:space="preserve"> relocation i</w:t>
      </w:r>
      <w:r w:rsidR="000F0CF6">
        <w:t>s used,</w:t>
      </w:r>
      <w:r w:rsidR="000F0CF6" w:rsidRPr="004B4465">
        <w:t xml:space="preserve"> which </w:t>
      </w:r>
      <w:r w:rsidR="00777546">
        <w:t xml:space="preserve">introduces additional network signalling </w:t>
      </w:r>
      <w:r w:rsidR="000F0CF6" w:rsidRPr="004B4465">
        <w:t>overhead</w:t>
      </w:r>
      <w:r w:rsidR="0099484A">
        <w:t xml:space="preserve"> as shown in</w:t>
      </w:r>
      <w:r w:rsidR="00E9757F">
        <w:t xml:space="preserve"> </w:t>
      </w:r>
      <w:bookmarkStart w:id="1" w:name="_GoBack"/>
      <w:bookmarkEnd w:id="1"/>
      <w:r w:rsidR="00962B90">
        <w:t>R3-210056</w:t>
      </w:r>
      <w:r w:rsidR="000F0CF6">
        <w:t xml:space="preserve">. </w:t>
      </w:r>
    </w:p>
    <w:p w14:paraId="23B37F4D" w14:textId="326A4DB7" w:rsidR="004B4465" w:rsidRDefault="004B4465" w:rsidP="004B4465">
      <w:pPr>
        <w:rPr>
          <w:lang w:val="en-US"/>
        </w:rPr>
      </w:pPr>
      <w:r w:rsidRPr="004B4465">
        <w:rPr>
          <w:b/>
          <w:lang w:val="en-US"/>
        </w:rPr>
        <w:t xml:space="preserve">Observation </w:t>
      </w:r>
      <w:r w:rsidR="00A31376">
        <w:rPr>
          <w:b/>
          <w:lang w:val="en-US"/>
        </w:rPr>
        <w:t>3</w:t>
      </w:r>
      <w:r w:rsidRPr="004B4465">
        <w:rPr>
          <w:lang w:val="en-US"/>
        </w:rPr>
        <w:t xml:space="preserve">: Using the stored RLC configuration for SDT </w:t>
      </w:r>
      <w:r w:rsidR="00627FB7">
        <w:rPr>
          <w:lang w:val="en-US"/>
        </w:rPr>
        <w:t xml:space="preserve">implies the need to first fetch </w:t>
      </w:r>
      <w:r w:rsidR="00273F99">
        <w:rPr>
          <w:lang w:val="en-US"/>
        </w:rPr>
        <w:t>the RLC</w:t>
      </w:r>
      <w:r w:rsidR="00777546">
        <w:rPr>
          <w:lang w:val="en-US"/>
        </w:rPr>
        <w:t xml:space="preserve"> context </w:t>
      </w:r>
      <w:r w:rsidR="00627FB7">
        <w:rPr>
          <w:lang w:val="en-US"/>
        </w:rPr>
        <w:t xml:space="preserve">before </w:t>
      </w:r>
      <w:r w:rsidRPr="004B4465">
        <w:rPr>
          <w:lang w:val="en-US"/>
        </w:rPr>
        <w:t>data forwarding</w:t>
      </w:r>
      <w:r w:rsidR="00627FB7">
        <w:rPr>
          <w:lang w:val="en-US"/>
        </w:rPr>
        <w:t xml:space="preserve"> can occur</w:t>
      </w:r>
      <w:r w:rsidR="001F45D1">
        <w:rPr>
          <w:lang w:val="en-US"/>
        </w:rPr>
        <w:t>, which is undesired as it vanishes the benefits of d</w:t>
      </w:r>
      <w:r w:rsidR="001F45D1" w:rsidRPr="004B4465">
        <w:rPr>
          <w:lang w:val="en-US"/>
        </w:rPr>
        <w:t>ata forwarding</w:t>
      </w:r>
      <w:r w:rsidRPr="004B4465">
        <w:rPr>
          <w:lang w:val="en-US"/>
        </w:rPr>
        <w:t>.</w:t>
      </w:r>
    </w:p>
    <w:p w14:paraId="55A055C7" w14:textId="33343D5F" w:rsidR="000B45D6" w:rsidRDefault="000B45D6" w:rsidP="004B4465">
      <w:pPr>
        <w:rPr>
          <w:lang w:val="en-US"/>
        </w:rPr>
      </w:pPr>
      <w:r>
        <w:rPr>
          <w:lang w:val="en-US"/>
        </w:rPr>
        <w:t xml:space="preserve">Similarly, even for the case of </w:t>
      </w:r>
      <w:r w:rsidR="005659DB">
        <w:rPr>
          <w:lang w:val="en-US"/>
        </w:rPr>
        <w:t xml:space="preserve">without data forwarding, the current approach exposes latency </w:t>
      </w:r>
      <w:r w:rsidR="00083028">
        <w:rPr>
          <w:lang w:val="en-US"/>
        </w:rPr>
        <w:t xml:space="preserve">given the RLC PDU at the target gNB can only be decoded upon receival of UE AS Context. In fact, by employing the CU-DU split architecture, this would mean the RLC </w:t>
      </w:r>
      <w:r w:rsidR="00273F99">
        <w:rPr>
          <w:lang w:val="en-US"/>
        </w:rPr>
        <w:t>context</w:t>
      </w:r>
      <w:r w:rsidR="00083028">
        <w:rPr>
          <w:lang w:val="en-US"/>
        </w:rPr>
        <w:t xml:space="preserve"> can only be provided to the DU after receiving the UE AS Context and only then the RLC PDU can be decoded and forwarded to CU for PDCP processing. Such delay in the SDT procedure seems to have also significant impact to UE power consumption given it needs to wait decoding PDCCH until the SDT procedure is completed.</w:t>
      </w:r>
    </w:p>
    <w:p w14:paraId="79BCBBD0" w14:textId="41A10D1A" w:rsidR="00083028" w:rsidRDefault="00083028" w:rsidP="00083028">
      <w:pPr>
        <w:rPr>
          <w:lang w:val="en-US"/>
        </w:rPr>
      </w:pPr>
      <w:r w:rsidRPr="004B4465">
        <w:rPr>
          <w:b/>
          <w:lang w:val="en-US"/>
        </w:rPr>
        <w:t xml:space="preserve">Observation </w:t>
      </w:r>
      <w:r w:rsidR="00A31376">
        <w:rPr>
          <w:b/>
          <w:lang w:val="en-US"/>
        </w:rPr>
        <w:t>4</w:t>
      </w:r>
      <w:r w:rsidRPr="004B4465">
        <w:rPr>
          <w:lang w:val="en-US"/>
        </w:rPr>
        <w:t xml:space="preserve">: </w:t>
      </w:r>
      <w:r>
        <w:rPr>
          <w:lang w:val="en-US"/>
        </w:rPr>
        <w:t xml:space="preserve">Even without data forwarding, the </w:t>
      </w:r>
      <w:r w:rsidR="00E9757F">
        <w:rPr>
          <w:lang w:val="en-US"/>
        </w:rPr>
        <w:t xml:space="preserve">agreed </w:t>
      </w:r>
      <w:r>
        <w:rPr>
          <w:lang w:val="en-US"/>
        </w:rPr>
        <w:t>approach of u</w:t>
      </w:r>
      <w:r w:rsidRPr="004B4465">
        <w:rPr>
          <w:lang w:val="en-US"/>
        </w:rPr>
        <w:t xml:space="preserve">sing the stored RLC configuration for SDT </w:t>
      </w:r>
      <w:r>
        <w:rPr>
          <w:lang w:val="en-US"/>
        </w:rPr>
        <w:t xml:space="preserve">implies the need to first fetch the UE AS Context before </w:t>
      </w:r>
      <w:r w:rsidR="000F7EBB">
        <w:rPr>
          <w:lang w:val="en-US"/>
        </w:rPr>
        <w:t xml:space="preserve">the gNB-CU can configure </w:t>
      </w:r>
      <w:r>
        <w:rPr>
          <w:lang w:val="en-US"/>
        </w:rPr>
        <w:t>the RLC entity of the gNB-DU to decode the RLC PDU and forward the resulting PDCP PDU to gNB-CU</w:t>
      </w:r>
      <w:r w:rsidR="000F7EBB">
        <w:rPr>
          <w:lang w:val="en-US"/>
        </w:rPr>
        <w:t xml:space="preserve"> – this seems </w:t>
      </w:r>
      <w:r w:rsidR="002935BE">
        <w:rPr>
          <w:lang w:val="en-US"/>
        </w:rPr>
        <w:t xml:space="preserve">to introduce </w:t>
      </w:r>
      <w:r w:rsidR="000F7EBB">
        <w:rPr>
          <w:lang w:val="en-US"/>
        </w:rPr>
        <w:t>significant delay for SDT.</w:t>
      </w:r>
    </w:p>
    <w:p w14:paraId="575353B8" w14:textId="11A4D668" w:rsidR="00083028" w:rsidRPr="004B4465" w:rsidRDefault="00083028" w:rsidP="002935BE">
      <w:pPr>
        <w:rPr>
          <w:lang w:val="en-US"/>
        </w:rPr>
      </w:pPr>
      <w:r>
        <w:rPr>
          <w:lang w:val="en-US"/>
        </w:rPr>
        <w:t xml:space="preserve">Given the above, </w:t>
      </w:r>
      <w:r w:rsidR="00A02A4C">
        <w:rPr>
          <w:lang w:val="en-US"/>
        </w:rPr>
        <w:t xml:space="preserve">to enable </w:t>
      </w:r>
      <w:r w:rsidR="00D64046">
        <w:rPr>
          <w:lang w:val="en-US"/>
        </w:rPr>
        <w:t xml:space="preserve">the network </w:t>
      </w:r>
      <w:r w:rsidR="00A02A4C">
        <w:rPr>
          <w:lang w:val="en-US"/>
        </w:rPr>
        <w:t>to decode the RLC PDU of the SDT transmission with stored RLC configuration</w:t>
      </w:r>
      <w:r w:rsidR="002935BE">
        <w:rPr>
          <w:lang w:val="en-US"/>
        </w:rPr>
        <w:t xml:space="preserve"> immediately</w:t>
      </w:r>
      <w:r w:rsidR="003B3210">
        <w:rPr>
          <w:lang w:val="en-US"/>
        </w:rPr>
        <w:t>, i.e. without requiring fetching of the RLC context</w:t>
      </w:r>
      <w:r w:rsidR="00A02A4C">
        <w:rPr>
          <w:lang w:val="en-US"/>
        </w:rPr>
        <w:t>,</w:t>
      </w:r>
      <w:r w:rsidR="006E577E">
        <w:rPr>
          <w:lang w:val="en-US"/>
        </w:rPr>
        <w:t xml:space="preserve"> i</w:t>
      </w:r>
      <w:r w:rsidR="000F7EBB">
        <w:rPr>
          <w:lang w:val="en-US"/>
        </w:rPr>
        <w:t xml:space="preserve">t seems possible for the UE to </w:t>
      </w:r>
      <w:r w:rsidR="006E577E">
        <w:rPr>
          <w:lang w:val="en-US"/>
        </w:rPr>
        <w:t xml:space="preserve">provide </w:t>
      </w:r>
      <w:r w:rsidR="000F7EBB">
        <w:rPr>
          <w:lang w:val="en-US"/>
        </w:rPr>
        <w:t xml:space="preserve">this </w:t>
      </w:r>
      <w:r w:rsidR="006E577E">
        <w:rPr>
          <w:lang w:val="en-US"/>
        </w:rPr>
        <w:t xml:space="preserve">configuration </w:t>
      </w:r>
      <w:r w:rsidR="000F7EBB">
        <w:rPr>
          <w:lang w:val="en-US"/>
        </w:rPr>
        <w:t>information along with the SDT transmission.</w:t>
      </w:r>
      <w:r w:rsidR="002935BE">
        <w:rPr>
          <w:lang w:val="en-US"/>
        </w:rPr>
        <w:t xml:space="preserve"> This allows </w:t>
      </w:r>
      <w:r w:rsidR="003E50A2">
        <w:rPr>
          <w:lang w:val="en-US"/>
        </w:rPr>
        <w:t xml:space="preserve">the </w:t>
      </w:r>
      <w:r w:rsidR="002935BE">
        <w:rPr>
          <w:lang w:val="en-US"/>
        </w:rPr>
        <w:t xml:space="preserve">target gNB to immediately decode the RLC PDU and enables </w:t>
      </w:r>
      <w:r w:rsidR="00D64046">
        <w:rPr>
          <w:lang w:val="en-US"/>
        </w:rPr>
        <w:t>immediate</w:t>
      </w:r>
      <w:r w:rsidR="002935BE">
        <w:rPr>
          <w:lang w:val="en-US"/>
        </w:rPr>
        <w:t xml:space="preserve"> data forwarding to be used over Xn.</w:t>
      </w:r>
    </w:p>
    <w:p w14:paraId="74ED34F3" w14:textId="3DF5C596" w:rsidR="00273F99" w:rsidRDefault="004B4465">
      <w:pPr>
        <w:rPr>
          <w:b/>
          <w:bCs/>
        </w:rPr>
      </w:pPr>
      <w:bookmarkStart w:id="2" w:name="_Hlk54250444"/>
      <w:r w:rsidRPr="004B4465">
        <w:rPr>
          <w:b/>
          <w:bCs/>
          <w:lang w:val="en-US"/>
        </w:rPr>
        <w:t xml:space="preserve">Proposal </w:t>
      </w:r>
      <w:r w:rsidR="00BA02D5">
        <w:rPr>
          <w:b/>
          <w:bCs/>
          <w:lang w:val="en-US"/>
        </w:rPr>
        <w:t>5</w:t>
      </w:r>
      <w:r w:rsidRPr="004B4465">
        <w:rPr>
          <w:b/>
          <w:bCs/>
          <w:lang w:val="en-US"/>
        </w:rPr>
        <w:t>:</w:t>
      </w:r>
      <w:r w:rsidR="000F7EBB">
        <w:rPr>
          <w:b/>
          <w:bCs/>
          <w:lang w:val="en-US"/>
        </w:rPr>
        <w:t xml:space="preserve"> </w:t>
      </w:r>
      <w:r w:rsidR="006E577E">
        <w:rPr>
          <w:b/>
          <w:bCs/>
          <w:lang w:val="en-US"/>
        </w:rPr>
        <w:t xml:space="preserve">Support </w:t>
      </w:r>
      <w:r w:rsidR="003E50A2">
        <w:rPr>
          <w:b/>
          <w:bCs/>
          <w:lang w:val="en-US"/>
        </w:rPr>
        <w:t xml:space="preserve">a </w:t>
      </w:r>
      <w:r w:rsidR="006E577E">
        <w:rPr>
          <w:b/>
          <w:bCs/>
          <w:lang w:val="en-US"/>
        </w:rPr>
        <w:t xml:space="preserve">UE indication about </w:t>
      </w:r>
      <w:r w:rsidR="003E50A2">
        <w:rPr>
          <w:b/>
          <w:bCs/>
          <w:lang w:val="en-US"/>
        </w:rPr>
        <w:t xml:space="preserve">the </w:t>
      </w:r>
      <w:r w:rsidR="006E577E">
        <w:rPr>
          <w:b/>
          <w:bCs/>
          <w:lang w:val="en-US"/>
        </w:rPr>
        <w:t>used RLC configuration</w:t>
      </w:r>
      <w:r w:rsidR="003C2F12">
        <w:rPr>
          <w:b/>
          <w:bCs/>
          <w:lang w:val="en-US"/>
        </w:rPr>
        <w:t xml:space="preserve"> in the SDT transmission</w:t>
      </w:r>
      <w:r w:rsidR="006E577E">
        <w:rPr>
          <w:b/>
          <w:bCs/>
          <w:lang w:val="en-US"/>
        </w:rPr>
        <w:t xml:space="preserve"> to enable </w:t>
      </w:r>
      <w:r w:rsidR="003E50A2">
        <w:rPr>
          <w:b/>
          <w:bCs/>
          <w:lang w:val="en-US"/>
        </w:rPr>
        <w:t xml:space="preserve">the </w:t>
      </w:r>
      <w:r w:rsidR="006E577E">
        <w:rPr>
          <w:b/>
          <w:bCs/>
          <w:lang w:val="en-US"/>
        </w:rPr>
        <w:t>target gNB to decode the RLC PDU immediately.</w:t>
      </w:r>
      <w:r w:rsidRPr="004B4465">
        <w:rPr>
          <w:b/>
          <w:bCs/>
        </w:rPr>
        <w:t xml:space="preserve">  </w:t>
      </w:r>
    </w:p>
    <w:p w14:paraId="5B23BAD6" w14:textId="01DF7080" w:rsidR="00B81D56" w:rsidRPr="00B81D56" w:rsidRDefault="00B81D56" w:rsidP="00B81D56">
      <w:r w:rsidRPr="00B81D56">
        <w:t xml:space="preserve">It is worth noting that without such UE indication about the used RLC configuration, the scenario of data forwarding </w:t>
      </w:r>
      <w:r w:rsidRPr="00B81D56">
        <w:rPr>
          <w:i/>
          <w:iCs/>
        </w:rPr>
        <w:t xml:space="preserve">with </w:t>
      </w:r>
      <w:r w:rsidRPr="00B81D56">
        <w:t xml:space="preserve">anchor relocation becomes an irrelevant scenario since the first RLC PDU cannot be forwarded from the target to the anchor gNB before fetching the RLC context. However, by the time the </w:t>
      </w:r>
      <w:r w:rsidR="00117DFC">
        <w:t xml:space="preserve">RLC context is fetched and the </w:t>
      </w:r>
      <w:r w:rsidRPr="00B81D56">
        <w:t>first RLC PDU is processed, the anchor relocation would be already initiated</w:t>
      </w:r>
      <w:r w:rsidR="00117DFC">
        <w:t>, after which data forwarding wouldn’t be possible anymore</w:t>
      </w:r>
      <w:r w:rsidRPr="00B81D56">
        <w:t>. Proposal 5 allows to support such scenario</w:t>
      </w:r>
      <w:r w:rsidR="00117DFC">
        <w:t xml:space="preserve"> of </w:t>
      </w:r>
      <w:r w:rsidR="00117DFC" w:rsidRPr="00B81D56">
        <w:t xml:space="preserve">data forwarding </w:t>
      </w:r>
      <w:r w:rsidR="00117DFC" w:rsidRPr="00B81D56">
        <w:rPr>
          <w:i/>
          <w:iCs/>
        </w:rPr>
        <w:t xml:space="preserve">with </w:t>
      </w:r>
      <w:r w:rsidR="00117DFC" w:rsidRPr="00B81D56">
        <w:t>anchor relocation</w:t>
      </w:r>
      <w:r w:rsidRPr="00B81D56">
        <w:t xml:space="preserve"> in line with the corresponding objective in the SDT Work Item Description.</w:t>
      </w:r>
    </w:p>
    <w:p w14:paraId="18A9D839" w14:textId="77777777" w:rsidR="00B81D56" w:rsidRDefault="00B81D56">
      <w:pPr>
        <w:rPr>
          <w:b/>
          <w:bCs/>
        </w:rPr>
      </w:pPr>
    </w:p>
    <w:bookmarkEnd w:id="2"/>
    <w:p w14:paraId="5FF2457F" w14:textId="11A84A2C" w:rsidR="00A209D6" w:rsidRPr="006E13D1" w:rsidRDefault="00A209D6" w:rsidP="00A209D6">
      <w:pPr>
        <w:pStyle w:val="Heading1"/>
      </w:pPr>
      <w:r w:rsidRPr="006E13D1">
        <w:t>4</w:t>
      </w:r>
      <w:r w:rsidRPr="006E13D1">
        <w:tab/>
      </w:r>
      <w:r w:rsidR="008C3057">
        <w:t>Conclusion</w:t>
      </w:r>
    </w:p>
    <w:p w14:paraId="196120B5" w14:textId="77777777" w:rsidR="00F623F1" w:rsidRDefault="00F623F1" w:rsidP="00F623F1">
      <w:r w:rsidRPr="004B4465">
        <w:rPr>
          <w:b/>
          <w:lang w:val="en-US"/>
        </w:rPr>
        <w:t xml:space="preserve">Observation </w:t>
      </w:r>
      <w:r>
        <w:rPr>
          <w:b/>
          <w:lang w:val="en-US"/>
        </w:rPr>
        <w:t>1</w:t>
      </w:r>
      <w:r w:rsidRPr="004B4465">
        <w:rPr>
          <w:lang w:val="en-US"/>
        </w:rPr>
        <w:t>:</w:t>
      </w:r>
      <w:r>
        <w:rPr>
          <w:lang w:val="en-US"/>
        </w:rPr>
        <w:t xml:space="preserve"> </w:t>
      </w:r>
      <w:r w:rsidRPr="00BF0D3F">
        <w:rPr>
          <w:lang w:val="en-US"/>
        </w:rPr>
        <w:t>D</w:t>
      </w:r>
      <w:r w:rsidRPr="004B4465">
        <w:t>ata forwarding</w:t>
      </w:r>
      <w:r w:rsidRPr="00BF0D3F">
        <w:t xml:space="preserve"> with and without anchor relocation</w:t>
      </w:r>
      <w:r>
        <w:t xml:space="preserve"> may provide data latency and network signalling benefits and their adoption should be up to the network.</w:t>
      </w:r>
    </w:p>
    <w:p w14:paraId="3E308031" w14:textId="77777777" w:rsidR="00F623F1" w:rsidRPr="00273F99" w:rsidRDefault="00F623F1" w:rsidP="00F623F1">
      <w:pPr>
        <w:rPr>
          <w:rFonts w:eastAsia="SimSun"/>
          <w:lang w:eastAsia="zh-CN"/>
        </w:rPr>
      </w:pPr>
      <w:r w:rsidRPr="00273F99">
        <w:rPr>
          <w:rFonts w:eastAsia="SimSun"/>
          <w:b/>
          <w:bCs/>
          <w:lang w:eastAsia="zh-CN"/>
        </w:rPr>
        <w:t xml:space="preserve">Observation </w:t>
      </w:r>
      <w:r>
        <w:rPr>
          <w:rFonts w:eastAsia="SimSun"/>
          <w:b/>
          <w:bCs/>
          <w:lang w:eastAsia="zh-CN"/>
        </w:rPr>
        <w:t>2</w:t>
      </w:r>
      <w:r w:rsidRPr="00273F99">
        <w:rPr>
          <w:rFonts w:eastAsia="SimSun"/>
          <w:lang w:eastAsia="zh-CN"/>
        </w:rPr>
        <w:t xml:space="preserve">: </w:t>
      </w:r>
      <w:r>
        <w:rPr>
          <w:rFonts w:eastAsia="SimSun"/>
          <w:lang w:eastAsia="zh-CN"/>
        </w:rPr>
        <w:t>T</w:t>
      </w:r>
      <w:r w:rsidRPr="00273F99">
        <w:rPr>
          <w:rFonts w:eastAsia="SimSun"/>
          <w:lang w:eastAsia="zh-CN"/>
        </w:rPr>
        <w:t>o cope with the various use cases</w:t>
      </w:r>
      <w:r>
        <w:rPr>
          <w:rFonts w:eastAsia="SimSun"/>
          <w:lang w:eastAsia="zh-CN"/>
        </w:rPr>
        <w:t xml:space="preserve"> and needs</w:t>
      </w:r>
      <w:r w:rsidRPr="00273F99">
        <w:rPr>
          <w:rFonts w:eastAsia="SimSun"/>
          <w:lang w:eastAsia="zh-CN"/>
        </w:rPr>
        <w:t xml:space="preserve">, the target gNB should be able to request the </w:t>
      </w:r>
      <w:r>
        <w:rPr>
          <w:rFonts w:eastAsia="SimSun"/>
          <w:lang w:eastAsia="zh-CN"/>
        </w:rPr>
        <w:t>UE</w:t>
      </w:r>
      <w:r w:rsidRPr="00273F99">
        <w:rPr>
          <w:rFonts w:eastAsia="SimSun"/>
          <w:lang w:eastAsia="zh-CN"/>
        </w:rPr>
        <w:t xml:space="preserve"> </w:t>
      </w:r>
      <w:r>
        <w:rPr>
          <w:rFonts w:eastAsia="SimSun"/>
          <w:lang w:eastAsia="zh-CN"/>
        </w:rPr>
        <w:t>AS</w:t>
      </w:r>
      <w:r w:rsidRPr="00273F99">
        <w:rPr>
          <w:rFonts w:eastAsia="SimSun"/>
          <w:lang w:eastAsia="zh-CN"/>
        </w:rPr>
        <w:t xml:space="preserve"> context relocation when needed or indicate that it leaves the decision to the anchor gNB.</w:t>
      </w:r>
    </w:p>
    <w:p w14:paraId="65B2B9BB" w14:textId="77777777" w:rsidR="00F623F1" w:rsidRDefault="00F623F1" w:rsidP="00F623F1">
      <w:pPr>
        <w:rPr>
          <w:lang w:val="en-US"/>
        </w:rPr>
      </w:pPr>
      <w:r w:rsidRPr="004B4465">
        <w:rPr>
          <w:b/>
          <w:lang w:val="en-US"/>
        </w:rPr>
        <w:t xml:space="preserve">Observation </w:t>
      </w:r>
      <w:r>
        <w:rPr>
          <w:b/>
          <w:lang w:val="en-US"/>
        </w:rPr>
        <w:t>3</w:t>
      </w:r>
      <w:r w:rsidRPr="004B4465">
        <w:rPr>
          <w:lang w:val="en-US"/>
        </w:rPr>
        <w:t xml:space="preserve">: Using the stored RLC configuration for SDT </w:t>
      </w:r>
      <w:r>
        <w:rPr>
          <w:lang w:val="en-US"/>
        </w:rPr>
        <w:t xml:space="preserve">implies the need to first fetch the RLC context before </w:t>
      </w:r>
      <w:r w:rsidRPr="004B4465">
        <w:rPr>
          <w:lang w:val="en-US"/>
        </w:rPr>
        <w:t>data forwarding</w:t>
      </w:r>
      <w:r>
        <w:rPr>
          <w:lang w:val="en-US"/>
        </w:rPr>
        <w:t xml:space="preserve"> can occur, which is undesired as it vanishes the benefits of d</w:t>
      </w:r>
      <w:r w:rsidRPr="004B4465">
        <w:rPr>
          <w:lang w:val="en-US"/>
        </w:rPr>
        <w:t>ata forwarding.</w:t>
      </w:r>
    </w:p>
    <w:p w14:paraId="148C2449" w14:textId="77777777" w:rsidR="00F623F1" w:rsidRDefault="00F623F1" w:rsidP="00F623F1">
      <w:pPr>
        <w:rPr>
          <w:lang w:val="en-US"/>
        </w:rPr>
      </w:pPr>
      <w:r w:rsidRPr="004B4465">
        <w:rPr>
          <w:b/>
          <w:lang w:val="en-US"/>
        </w:rPr>
        <w:t xml:space="preserve">Observation </w:t>
      </w:r>
      <w:r>
        <w:rPr>
          <w:b/>
          <w:lang w:val="en-US"/>
        </w:rPr>
        <w:t>4</w:t>
      </w:r>
      <w:r w:rsidRPr="004B4465">
        <w:rPr>
          <w:lang w:val="en-US"/>
        </w:rPr>
        <w:t xml:space="preserve">: </w:t>
      </w:r>
      <w:r>
        <w:rPr>
          <w:lang w:val="en-US"/>
        </w:rPr>
        <w:t>Even without data forwarding, the agreed approach of u</w:t>
      </w:r>
      <w:r w:rsidRPr="004B4465">
        <w:rPr>
          <w:lang w:val="en-US"/>
        </w:rPr>
        <w:t xml:space="preserve">sing the stored RLC configuration for SDT </w:t>
      </w:r>
      <w:r>
        <w:rPr>
          <w:lang w:val="en-US"/>
        </w:rPr>
        <w:t>implies the need to first fetch the UE AS Context before the gNB-CU can configure the RLC entity of the gNB-DU to decode the RLC PDU and forward the resulting PDCP PDU to gNB-CU – this seems to introduce significant delay for SDT.</w:t>
      </w:r>
    </w:p>
    <w:p w14:paraId="098CF69E" w14:textId="77777777" w:rsidR="00F623F1" w:rsidRPr="00706CAB" w:rsidRDefault="00F623F1" w:rsidP="00F623F1">
      <w:pPr>
        <w:rPr>
          <w:b/>
          <w:bCs/>
        </w:rPr>
      </w:pPr>
      <w:r w:rsidRPr="00706CAB">
        <w:rPr>
          <w:b/>
          <w:bCs/>
        </w:rPr>
        <w:t>Proposal 1: “Not at cell edge” threshold specified for R</w:t>
      </w:r>
      <w:r>
        <w:rPr>
          <w:b/>
          <w:bCs/>
        </w:rPr>
        <w:t>el-</w:t>
      </w:r>
      <w:r w:rsidRPr="00706CAB">
        <w:rPr>
          <w:b/>
          <w:bCs/>
        </w:rPr>
        <w:t>16 UE power saving is re-used for SDT purpose i.e. the UE is not allowed to use SDT at cell edge</w:t>
      </w:r>
      <w:r>
        <w:rPr>
          <w:b/>
          <w:bCs/>
        </w:rPr>
        <w:t>.</w:t>
      </w:r>
    </w:p>
    <w:p w14:paraId="7FDDBC9F" w14:textId="77777777" w:rsidR="00F623F1" w:rsidRPr="00CF21FD" w:rsidRDefault="00F623F1" w:rsidP="00F623F1">
      <w:pPr>
        <w:rPr>
          <w:b/>
          <w:bCs/>
        </w:rPr>
      </w:pPr>
      <w:r>
        <w:rPr>
          <w:b/>
          <w:bCs/>
        </w:rPr>
        <w:t>Proposal 2: NW can configure SDT procedure to be performed without configuring separate RACH resources for SDT, i.e., common RACH resources for SDT and non-SDT RA procedures are supported.</w:t>
      </w:r>
    </w:p>
    <w:p w14:paraId="789A2CEC" w14:textId="77777777" w:rsidR="00F623F1" w:rsidRPr="00F623F1" w:rsidRDefault="00F623F1" w:rsidP="00F623F1">
      <w:pPr>
        <w:rPr>
          <w:rFonts w:eastAsia="SimSun"/>
          <w:b/>
          <w:lang w:val="en-US" w:eastAsia="zh-CN"/>
        </w:rPr>
      </w:pPr>
      <w:r w:rsidRPr="00F623F1">
        <w:rPr>
          <w:rFonts w:eastAsia="SimSun"/>
          <w:b/>
          <w:lang w:val="en-US" w:eastAsia="zh-CN"/>
        </w:rPr>
        <w:t>Proposal 3: The</w:t>
      </w:r>
      <w:r w:rsidRPr="00F623F1">
        <w:rPr>
          <w:rFonts w:eastAsia="SimSun"/>
          <w:b/>
          <w:lang w:eastAsia="zh-CN"/>
        </w:rPr>
        <w:t xml:space="preserve"> target gNB should be able to request the UE AS context retrieval when needed or indicate that it leaves the decision to the anchor gNB whether the full UE AS context. </w:t>
      </w:r>
    </w:p>
    <w:p w14:paraId="4DBA6207" w14:textId="77777777" w:rsidR="00F623F1" w:rsidRDefault="00F623F1" w:rsidP="00F623F1">
      <w:pPr>
        <w:rPr>
          <w:b/>
          <w:bCs/>
        </w:rPr>
      </w:pPr>
      <w:r w:rsidRPr="004B4465">
        <w:rPr>
          <w:b/>
          <w:bCs/>
          <w:lang w:val="en-US"/>
        </w:rPr>
        <w:t xml:space="preserve">Proposal </w:t>
      </w:r>
      <w:r>
        <w:rPr>
          <w:b/>
          <w:bCs/>
          <w:lang w:val="en-US"/>
        </w:rPr>
        <w:t>4</w:t>
      </w:r>
      <w:r w:rsidRPr="004B4465">
        <w:rPr>
          <w:b/>
          <w:bCs/>
          <w:lang w:val="en-US"/>
        </w:rPr>
        <w:t xml:space="preserve">: The </w:t>
      </w:r>
      <w:r w:rsidRPr="004B4465">
        <w:rPr>
          <w:b/>
          <w:bCs/>
        </w:rPr>
        <w:t xml:space="preserve">PDCP protocol instance for an SDT DRB can be terminated at the last serving gNB </w:t>
      </w:r>
      <w:r>
        <w:rPr>
          <w:b/>
          <w:bCs/>
        </w:rPr>
        <w:t>when</w:t>
      </w:r>
      <w:r w:rsidRPr="004B4465">
        <w:rPr>
          <w:b/>
          <w:bCs/>
        </w:rPr>
        <w:t xml:space="preserve"> data forwarding</w:t>
      </w:r>
      <w:r>
        <w:rPr>
          <w:b/>
          <w:bCs/>
        </w:rPr>
        <w:t xml:space="preserve"> is used</w:t>
      </w:r>
      <w:r w:rsidRPr="004B4465">
        <w:rPr>
          <w:b/>
          <w:bCs/>
        </w:rPr>
        <w:t xml:space="preserve">. </w:t>
      </w:r>
    </w:p>
    <w:p w14:paraId="024F8FF9" w14:textId="77777777" w:rsidR="00F623F1" w:rsidRDefault="00F623F1" w:rsidP="00F623F1">
      <w:pPr>
        <w:rPr>
          <w:b/>
          <w:bCs/>
        </w:rPr>
      </w:pPr>
      <w:r w:rsidRPr="004B4465">
        <w:rPr>
          <w:b/>
          <w:bCs/>
          <w:lang w:val="en-US"/>
        </w:rPr>
        <w:lastRenderedPageBreak/>
        <w:t xml:space="preserve">Proposal </w:t>
      </w:r>
      <w:r>
        <w:rPr>
          <w:b/>
          <w:bCs/>
          <w:lang w:val="en-US"/>
        </w:rPr>
        <w:t>5</w:t>
      </w:r>
      <w:r w:rsidRPr="004B4465">
        <w:rPr>
          <w:b/>
          <w:bCs/>
          <w:lang w:val="en-US"/>
        </w:rPr>
        <w:t>:</w:t>
      </w:r>
      <w:r>
        <w:rPr>
          <w:b/>
          <w:bCs/>
          <w:lang w:val="en-US"/>
        </w:rPr>
        <w:t xml:space="preserve"> Support a UE indication about the used RLC configuration in the SDT transmission to enable the target gNB to decode the RLC PDU immediately.</w:t>
      </w:r>
      <w:r w:rsidRPr="004B4465">
        <w:rPr>
          <w:b/>
          <w:bCs/>
        </w:rPr>
        <w:t xml:space="preserve">  </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C4510" w14:textId="77777777" w:rsidR="008243F6" w:rsidRDefault="008243F6">
      <w:r>
        <w:separator/>
      </w:r>
    </w:p>
  </w:endnote>
  <w:endnote w:type="continuationSeparator" w:id="0">
    <w:p w14:paraId="66E0C71E" w14:textId="77777777" w:rsidR="008243F6" w:rsidRDefault="008243F6">
      <w:r>
        <w:continuationSeparator/>
      </w:r>
    </w:p>
  </w:endnote>
  <w:endnote w:type="continuationNotice" w:id="1">
    <w:p w14:paraId="391DB69B" w14:textId="77777777" w:rsidR="008243F6" w:rsidRDefault="00824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6475EF" w:rsidRDefault="006475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6475EF" w:rsidRDefault="006475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6475EF" w:rsidRDefault="006475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2C5B9" w14:textId="77777777" w:rsidR="008243F6" w:rsidRDefault="008243F6">
      <w:r>
        <w:separator/>
      </w:r>
    </w:p>
  </w:footnote>
  <w:footnote w:type="continuationSeparator" w:id="0">
    <w:p w14:paraId="24844D65" w14:textId="77777777" w:rsidR="008243F6" w:rsidRDefault="008243F6">
      <w:r>
        <w:continuationSeparator/>
      </w:r>
    </w:p>
  </w:footnote>
  <w:footnote w:type="continuationNotice" w:id="1">
    <w:p w14:paraId="635F82C3" w14:textId="77777777" w:rsidR="008243F6" w:rsidRDefault="008243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6475EF" w:rsidRDefault="006475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6475EF" w:rsidRDefault="006475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6475EF" w:rsidRDefault="00647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FB0F28"/>
    <w:multiLevelType w:val="hybridMultilevel"/>
    <w:tmpl w:val="4D726C4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2961F3"/>
    <w:multiLevelType w:val="hybridMultilevel"/>
    <w:tmpl w:val="863AF9FC"/>
    <w:lvl w:ilvl="0" w:tplc="1CC2A6AC">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673F1888"/>
    <w:multiLevelType w:val="hybridMultilevel"/>
    <w:tmpl w:val="F80A5020"/>
    <w:lvl w:ilvl="0" w:tplc="7E4221A4">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707D3CB7"/>
    <w:multiLevelType w:val="hybridMultilevel"/>
    <w:tmpl w:val="E69A56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0658BE"/>
    <w:multiLevelType w:val="hybridMultilevel"/>
    <w:tmpl w:val="590CAB42"/>
    <w:lvl w:ilvl="0" w:tplc="C8AE536A">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9"/>
  </w:num>
  <w:num w:numId="9">
    <w:abstractNumId w:val="4"/>
  </w:num>
  <w:num w:numId="10">
    <w:abstractNumId w:val="8"/>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32B6"/>
    <w:rsid w:val="00073C9C"/>
    <w:rsid w:val="00080512"/>
    <w:rsid w:val="00083028"/>
    <w:rsid w:val="00090468"/>
    <w:rsid w:val="00094568"/>
    <w:rsid w:val="000B45D6"/>
    <w:rsid w:val="000B7BCF"/>
    <w:rsid w:val="000C522B"/>
    <w:rsid w:val="000D58AB"/>
    <w:rsid w:val="000F028B"/>
    <w:rsid w:val="000F0CF6"/>
    <w:rsid w:val="000F7EBB"/>
    <w:rsid w:val="00112F1A"/>
    <w:rsid w:val="00117DFC"/>
    <w:rsid w:val="001257C3"/>
    <w:rsid w:val="00145075"/>
    <w:rsid w:val="00161D15"/>
    <w:rsid w:val="001741A0"/>
    <w:rsid w:val="00175FA0"/>
    <w:rsid w:val="0018267B"/>
    <w:rsid w:val="00194CD0"/>
    <w:rsid w:val="001B49C9"/>
    <w:rsid w:val="001B70F7"/>
    <w:rsid w:val="001C23F4"/>
    <w:rsid w:val="001C4F79"/>
    <w:rsid w:val="001D527C"/>
    <w:rsid w:val="001E44B6"/>
    <w:rsid w:val="001F168B"/>
    <w:rsid w:val="001F45D1"/>
    <w:rsid w:val="001F7831"/>
    <w:rsid w:val="00204045"/>
    <w:rsid w:val="0020712B"/>
    <w:rsid w:val="002146E4"/>
    <w:rsid w:val="0022606D"/>
    <w:rsid w:val="00231728"/>
    <w:rsid w:val="00244A05"/>
    <w:rsid w:val="00250404"/>
    <w:rsid w:val="002610D8"/>
    <w:rsid w:val="00272A36"/>
    <w:rsid w:val="00273F99"/>
    <w:rsid w:val="002747EC"/>
    <w:rsid w:val="002855BF"/>
    <w:rsid w:val="002935BE"/>
    <w:rsid w:val="002F0D22"/>
    <w:rsid w:val="00311B17"/>
    <w:rsid w:val="0031433B"/>
    <w:rsid w:val="003172DC"/>
    <w:rsid w:val="00325AE3"/>
    <w:rsid w:val="00326069"/>
    <w:rsid w:val="0035462D"/>
    <w:rsid w:val="0036459E"/>
    <w:rsid w:val="00364B41"/>
    <w:rsid w:val="00377022"/>
    <w:rsid w:val="00383096"/>
    <w:rsid w:val="0039346C"/>
    <w:rsid w:val="003A41EF"/>
    <w:rsid w:val="003B3210"/>
    <w:rsid w:val="003B40AD"/>
    <w:rsid w:val="003C2F12"/>
    <w:rsid w:val="003C4E37"/>
    <w:rsid w:val="003D5AC8"/>
    <w:rsid w:val="003E16BE"/>
    <w:rsid w:val="003E50A2"/>
    <w:rsid w:val="003F4E28"/>
    <w:rsid w:val="004006E8"/>
    <w:rsid w:val="00401855"/>
    <w:rsid w:val="00465587"/>
    <w:rsid w:val="00477455"/>
    <w:rsid w:val="00487B28"/>
    <w:rsid w:val="004A1F7B"/>
    <w:rsid w:val="004B3E4B"/>
    <w:rsid w:val="004B4465"/>
    <w:rsid w:val="004C44D2"/>
    <w:rsid w:val="004D3578"/>
    <w:rsid w:val="004D380D"/>
    <w:rsid w:val="004D3B1C"/>
    <w:rsid w:val="004E213A"/>
    <w:rsid w:val="004E5A36"/>
    <w:rsid w:val="00503171"/>
    <w:rsid w:val="00506C28"/>
    <w:rsid w:val="0051502E"/>
    <w:rsid w:val="00534DA0"/>
    <w:rsid w:val="00543E6C"/>
    <w:rsid w:val="00565087"/>
    <w:rsid w:val="0056573F"/>
    <w:rsid w:val="005659DB"/>
    <w:rsid w:val="00571279"/>
    <w:rsid w:val="005938DC"/>
    <w:rsid w:val="005A49C6"/>
    <w:rsid w:val="005D0D25"/>
    <w:rsid w:val="00611566"/>
    <w:rsid w:val="00627FB7"/>
    <w:rsid w:val="00646D99"/>
    <w:rsid w:val="006475EF"/>
    <w:rsid w:val="00656910"/>
    <w:rsid w:val="006574C0"/>
    <w:rsid w:val="00662777"/>
    <w:rsid w:val="00667130"/>
    <w:rsid w:val="00696821"/>
    <w:rsid w:val="006C66D8"/>
    <w:rsid w:val="006D1E24"/>
    <w:rsid w:val="006D35DE"/>
    <w:rsid w:val="006E1417"/>
    <w:rsid w:val="006E577E"/>
    <w:rsid w:val="006F6A2C"/>
    <w:rsid w:val="007069DC"/>
    <w:rsid w:val="00706AE4"/>
    <w:rsid w:val="00706CAB"/>
    <w:rsid w:val="00710201"/>
    <w:rsid w:val="0072073A"/>
    <w:rsid w:val="007342B5"/>
    <w:rsid w:val="00734A5B"/>
    <w:rsid w:val="00744E76"/>
    <w:rsid w:val="00757D40"/>
    <w:rsid w:val="007662B5"/>
    <w:rsid w:val="00777546"/>
    <w:rsid w:val="00781F0F"/>
    <w:rsid w:val="0078727C"/>
    <w:rsid w:val="0079049D"/>
    <w:rsid w:val="00790EDD"/>
    <w:rsid w:val="00793DC5"/>
    <w:rsid w:val="007B18D8"/>
    <w:rsid w:val="007C095F"/>
    <w:rsid w:val="007C2DD0"/>
    <w:rsid w:val="007E42B9"/>
    <w:rsid w:val="007F2E08"/>
    <w:rsid w:val="008028A4"/>
    <w:rsid w:val="00813245"/>
    <w:rsid w:val="008224E5"/>
    <w:rsid w:val="008243F6"/>
    <w:rsid w:val="00840DE0"/>
    <w:rsid w:val="0086354A"/>
    <w:rsid w:val="00872D63"/>
    <w:rsid w:val="008768CA"/>
    <w:rsid w:val="00877EF9"/>
    <w:rsid w:val="00880559"/>
    <w:rsid w:val="00884D30"/>
    <w:rsid w:val="008B5306"/>
    <w:rsid w:val="008B6B6B"/>
    <w:rsid w:val="008C2E2A"/>
    <w:rsid w:val="008C3057"/>
    <w:rsid w:val="008D2E4D"/>
    <w:rsid w:val="008F396F"/>
    <w:rsid w:val="008F3DCD"/>
    <w:rsid w:val="008F7023"/>
    <w:rsid w:val="0090271F"/>
    <w:rsid w:val="00902DB9"/>
    <w:rsid w:val="0090466A"/>
    <w:rsid w:val="00923655"/>
    <w:rsid w:val="00936071"/>
    <w:rsid w:val="009376CD"/>
    <w:rsid w:val="00940212"/>
    <w:rsid w:val="00942EC2"/>
    <w:rsid w:val="00961B32"/>
    <w:rsid w:val="00962509"/>
    <w:rsid w:val="00962B90"/>
    <w:rsid w:val="00970DB3"/>
    <w:rsid w:val="00974BB0"/>
    <w:rsid w:val="00975BCD"/>
    <w:rsid w:val="00977E62"/>
    <w:rsid w:val="009928A9"/>
    <w:rsid w:val="0099484A"/>
    <w:rsid w:val="009A0AF3"/>
    <w:rsid w:val="009B07CD"/>
    <w:rsid w:val="009B5C91"/>
    <w:rsid w:val="009C19E9"/>
    <w:rsid w:val="009D74A6"/>
    <w:rsid w:val="009E0E87"/>
    <w:rsid w:val="009E36CE"/>
    <w:rsid w:val="009E5B74"/>
    <w:rsid w:val="00A02A4C"/>
    <w:rsid w:val="00A10CE9"/>
    <w:rsid w:val="00A10F02"/>
    <w:rsid w:val="00A204CA"/>
    <w:rsid w:val="00A209D6"/>
    <w:rsid w:val="00A22738"/>
    <w:rsid w:val="00A31376"/>
    <w:rsid w:val="00A53724"/>
    <w:rsid w:val="00A54B2B"/>
    <w:rsid w:val="00A63BED"/>
    <w:rsid w:val="00A82346"/>
    <w:rsid w:val="00A90E79"/>
    <w:rsid w:val="00A9671C"/>
    <w:rsid w:val="00AA1553"/>
    <w:rsid w:val="00AA5812"/>
    <w:rsid w:val="00AC366B"/>
    <w:rsid w:val="00AE487E"/>
    <w:rsid w:val="00AE4A81"/>
    <w:rsid w:val="00AE7931"/>
    <w:rsid w:val="00B05380"/>
    <w:rsid w:val="00B05962"/>
    <w:rsid w:val="00B15449"/>
    <w:rsid w:val="00B16C2F"/>
    <w:rsid w:val="00B27303"/>
    <w:rsid w:val="00B47FD1"/>
    <w:rsid w:val="00B516BB"/>
    <w:rsid w:val="00B81D56"/>
    <w:rsid w:val="00B84DB2"/>
    <w:rsid w:val="00BA02D5"/>
    <w:rsid w:val="00BC3555"/>
    <w:rsid w:val="00BD4F71"/>
    <w:rsid w:val="00BF0D3F"/>
    <w:rsid w:val="00C12B51"/>
    <w:rsid w:val="00C24650"/>
    <w:rsid w:val="00C25465"/>
    <w:rsid w:val="00C33079"/>
    <w:rsid w:val="00C3486F"/>
    <w:rsid w:val="00C4106D"/>
    <w:rsid w:val="00C6553E"/>
    <w:rsid w:val="00C67EB2"/>
    <w:rsid w:val="00C83A13"/>
    <w:rsid w:val="00C9068C"/>
    <w:rsid w:val="00C92967"/>
    <w:rsid w:val="00CA3D0C"/>
    <w:rsid w:val="00CA654B"/>
    <w:rsid w:val="00CB72B8"/>
    <w:rsid w:val="00CD4C7B"/>
    <w:rsid w:val="00CD58FE"/>
    <w:rsid w:val="00CF21FD"/>
    <w:rsid w:val="00D01B44"/>
    <w:rsid w:val="00D32B6A"/>
    <w:rsid w:val="00D33BE3"/>
    <w:rsid w:val="00D3758D"/>
    <w:rsid w:val="00D3792D"/>
    <w:rsid w:val="00D55E47"/>
    <w:rsid w:val="00D62E19"/>
    <w:rsid w:val="00D64046"/>
    <w:rsid w:val="00D67CD1"/>
    <w:rsid w:val="00D738D6"/>
    <w:rsid w:val="00D80795"/>
    <w:rsid w:val="00D84DE8"/>
    <w:rsid w:val="00D854BE"/>
    <w:rsid w:val="00D87E00"/>
    <w:rsid w:val="00D9134D"/>
    <w:rsid w:val="00D96D11"/>
    <w:rsid w:val="00DA7A03"/>
    <w:rsid w:val="00DB0DB8"/>
    <w:rsid w:val="00DB1818"/>
    <w:rsid w:val="00DC309B"/>
    <w:rsid w:val="00DC4DA2"/>
    <w:rsid w:val="00DC5261"/>
    <w:rsid w:val="00DE00D7"/>
    <w:rsid w:val="00DE25D2"/>
    <w:rsid w:val="00DE7FC4"/>
    <w:rsid w:val="00E4037C"/>
    <w:rsid w:val="00E46C08"/>
    <w:rsid w:val="00E471CF"/>
    <w:rsid w:val="00E62835"/>
    <w:rsid w:val="00E77645"/>
    <w:rsid w:val="00E83697"/>
    <w:rsid w:val="00E90B11"/>
    <w:rsid w:val="00E9757F"/>
    <w:rsid w:val="00EA66C9"/>
    <w:rsid w:val="00EC4A25"/>
    <w:rsid w:val="00ED73A4"/>
    <w:rsid w:val="00EF493F"/>
    <w:rsid w:val="00EF612C"/>
    <w:rsid w:val="00F025A2"/>
    <w:rsid w:val="00F036E9"/>
    <w:rsid w:val="00F07388"/>
    <w:rsid w:val="00F15806"/>
    <w:rsid w:val="00F2026E"/>
    <w:rsid w:val="00F20434"/>
    <w:rsid w:val="00F2210A"/>
    <w:rsid w:val="00F32F65"/>
    <w:rsid w:val="00F3714F"/>
    <w:rsid w:val="00F37743"/>
    <w:rsid w:val="00F54A3D"/>
    <w:rsid w:val="00F54CB0"/>
    <w:rsid w:val="00F579CD"/>
    <w:rsid w:val="00F623F1"/>
    <w:rsid w:val="00F653B8"/>
    <w:rsid w:val="00F71B89"/>
    <w:rsid w:val="00F72817"/>
    <w:rsid w:val="00F7353C"/>
    <w:rsid w:val="00F76F8F"/>
    <w:rsid w:val="00F852CA"/>
    <w:rsid w:val="00F941DF"/>
    <w:rsid w:val="00FA1266"/>
    <w:rsid w:val="00FB1A2D"/>
    <w:rsid w:val="00FB36FA"/>
    <w:rsid w:val="00FC1192"/>
    <w:rsid w:val="00FC473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D3758D"/>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758D"/>
    <w:rPr>
      <w:rFonts w:ascii="Arial" w:hAnsi="Arial"/>
      <w:lang w:eastAsia="ja-JP"/>
    </w:rPr>
  </w:style>
  <w:style w:type="paragraph" w:styleId="ListParagraph">
    <w:name w:val="List Paragraph"/>
    <w:basedOn w:val="Normal"/>
    <w:uiPriority w:val="34"/>
    <w:qFormat/>
    <w:rsid w:val="006475EF"/>
    <w:pPr>
      <w:ind w:left="720"/>
      <w:contextualSpacing/>
    </w:pPr>
  </w:style>
  <w:style w:type="table" w:styleId="TableGrid">
    <w:name w:val="Table Grid"/>
    <w:basedOn w:val="TableNormal"/>
    <w:rsid w:val="00C41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F493F"/>
    <w:rPr>
      <w:sz w:val="16"/>
      <w:szCs w:val="16"/>
    </w:rPr>
  </w:style>
  <w:style w:type="paragraph" w:styleId="CommentText">
    <w:name w:val="annotation text"/>
    <w:basedOn w:val="Normal"/>
    <w:link w:val="CommentTextChar"/>
    <w:rsid w:val="00EF493F"/>
  </w:style>
  <w:style w:type="character" w:customStyle="1" w:styleId="CommentTextChar">
    <w:name w:val="Comment Text Char"/>
    <w:basedOn w:val="DefaultParagraphFont"/>
    <w:link w:val="CommentText"/>
    <w:rsid w:val="00EF493F"/>
    <w:rPr>
      <w:lang w:eastAsia="en-US"/>
    </w:rPr>
  </w:style>
  <w:style w:type="paragraph" w:styleId="CommentSubject">
    <w:name w:val="annotation subject"/>
    <w:basedOn w:val="CommentText"/>
    <w:next w:val="CommentText"/>
    <w:link w:val="CommentSubjectChar"/>
    <w:rsid w:val="00EF493F"/>
    <w:rPr>
      <w:b/>
      <w:bCs/>
    </w:rPr>
  </w:style>
  <w:style w:type="character" w:customStyle="1" w:styleId="CommentSubjectChar">
    <w:name w:val="Comment Subject Char"/>
    <w:basedOn w:val="CommentTextChar"/>
    <w:link w:val="CommentSubject"/>
    <w:rsid w:val="00EF493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5AIRPNAIUNRU-859666464-7619</_dlc_DocId>
    <_dlc_DocIdUrl xmlns="71c5aaf6-e6ce-465b-b873-5148d2a4c105">
      <Url>https://nokia.sharepoint.com/sites/c5g/e2earch/_layouts/15/DocIdRedir.aspx?ID=5AIRPNAIUNRU-859666464-7619</Url>
      <Description>5AIRPNAIUNRU-859666464-7619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4cec1edcd5c1e4823cefea8261ee0612">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755daf472701444201ec4caf06f711f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terms/"/>
    <ds:schemaRef ds:uri="71c5aaf6-e6ce-465b-b873-5148d2a4c105"/>
    <ds:schemaRef ds:uri="http://schemas.microsoft.com/office/2006/documentManagement/types"/>
    <ds:schemaRef ds:uri="28d22441-8343-43f8-ac6d-b59b0fa8fca6"/>
    <ds:schemaRef ds:uri="http://schemas.openxmlformats.org/package/2006/metadata/core-properties"/>
    <ds:schemaRef ds:uri="http://purl.org/dc/elements/1.1/"/>
    <ds:schemaRef ds:uri="55ae6c15-9962-46ae-a768-8deca3649a65"/>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5834125-B787-4AD3-8315-F101CAE84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ACB2CF-4045-4DD8-991F-35ABCF2DC36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2667</Words>
  <Characters>13251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15887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3</cp:revision>
  <dcterms:created xsi:type="dcterms:W3CDTF">2021-01-14T19:17:00Z</dcterms:created>
  <dcterms:modified xsi:type="dcterms:W3CDTF">2021-01-14T19:18:00Z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0604b3d2-302d-4367-b250-aee9b59c50c0</vt:lpwstr>
  </property>
</Properties>
</file>